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98EC8">
      <w:pPr>
        <w:tabs>
          <w:tab w:val="center" w:pos="4201"/>
          <w:tab w:val="right" w:leader="dot" w:pos="9298"/>
        </w:tabs>
        <w:spacing w:line="360" w:lineRule="auto"/>
        <w:ind w:firstLine="0" w:firstLineChars="0"/>
        <w:rPr>
          <w:rFonts w:hint="eastAsia"/>
        </w:rPr>
      </w:pPr>
    </w:p>
    <w:p w14:paraId="5BA1CF76">
      <w:pPr>
        <w:spacing w:line="360" w:lineRule="auto"/>
        <w:ind w:firstLine="0" w:firstLineChars="0"/>
        <w:rPr>
          <w:rFonts w:ascii="宋体" w:hAnsi="宋体" w:cs="Cambria"/>
          <w:b/>
          <w:snapToGrid w:val="0"/>
          <w:kern w:val="0"/>
          <w:sz w:val="52"/>
          <w:szCs w:val="84"/>
        </w:rPr>
      </w:pPr>
    </w:p>
    <w:p w14:paraId="731A7D66">
      <w:pPr>
        <w:spacing w:line="360" w:lineRule="auto"/>
        <w:ind w:firstLine="0" w:firstLineChars="0"/>
        <w:jc w:val="center"/>
        <w:rPr>
          <w:rFonts w:ascii="Times New Roman" w:hAnsi="Times New Roman" w:cs="Times New Roman"/>
          <w:b/>
          <w:snapToGrid w:val="0"/>
          <w:kern w:val="0"/>
          <w:sz w:val="48"/>
          <w:szCs w:val="84"/>
        </w:rPr>
      </w:pPr>
      <w:r>
        <w:rPr>
          <w:rFonts w:hint="eastAsia" w:ascii="Times New Roman" w:hAnsi="Times New Roman" w:cs="Times New Roman"/>
          <w:b/>
          <w:snapToGrid w:val="0"/>
          <w:kern w:val="0"/>
          <w:sz w:val="48"/>
          <w:szCs w:val="84"/>
        </w:rPr>
        <w:t>重庆三峡银行</w:t>
      </w:r>
    </w:p>
    <w:p w14:paraId="4A0AF3C4">
      <w:pPr>
        <w:spacing w:line="360" w:lineRule="auto"/>
        <w:ind w:firstLine="0" w:firstLineChars="0"/>
        <w:jc w:val="center"/>
        <w:rPr>
          <w:rFonts w:ascii="Times New Roman" w:hAnsi="Times New Roman" w:cs="Times New Roman"/>
          <w:b/>
          <w:snapToGrid w:val="0"/>
          <w:kern w:val="0"/>
          <w:sz w:val="48"/>
          <w:szCs w:val="84"/>
        </w:rPr>
      </w:pPr>
      <w:r>
        <w:rPr>
          <w:rFonts w:hint="eastAsia" w:ascii="Times New Roman" w:hAnsi="Times New Roman" w:cs="Times New Roman"/>
          <w:b/>
          <w:snapToGrid w:val="0"/>
          <w:kern w:val="0"/>
          <w:sz w:val="48"/>
          <w:szCs w:val="84"/>
        </w:rPr>
        <w:t>轨道交通1、3号线站台车到提醒冠名</w:t>
      </w:r>
    </w:p>
    <w:p w14:paraId="3CE78372">
      <w:pPr>
        <w:spacing w:line="360" w:lineRule="auto"/>
        <w:ind w:firstLine="0" w:firstLineChars="0"/>
        <w:jc w:val="center"/>
        <w:rPr>
          <w:rFonts w:ascii="Times New Roman" w:hAnsi="Times New Roman" w:cs="Times New Roman"/>
          <w:b/>
          <w:snapToGrid w:val="0"/>
          <w:kern w:val="0"/>
          <w:sz w:val="48"/>
          <w:szCs w:val="84"/>
        </w:rPr>
      </w:pPr>
      <w:r>
        <w:rPr>
          <w:rFonts w:hint="eastAsia" w:ascii="Times New Roman" w:hAnsi="Times New Roman" w:cs="Times New Roman"/>
          <w:b/>
          <w:snapToGrid w:val="0"/>
          <w:kern w:val="0"/>
          <w:sz w:val="48"/>
          <w:szCs w:val="84"/>
        </w:rPr>
        <w:t>广告项目</w:t>
      </w:r>
    </w:p>
    <w:p w14:paraId="5F552FE4">
      <w:pPr>
        <w:spacing w:line="360" w:lineRule="auto"/>
        <w:ind w:firstLine="0" w:firstLineChars="0"/>
        <w:jc w:val="left"/>
        <w:rPr>
          <w:rFonts w:ascii="Times New Roman" w:hAnsi="Times New Roman" w:cs="Times New Roman"/>
          <w:snapToGrid w:val="0"/>
          <w:kern w:val="0"/>
          <w:sz w:val="18"/>
        </w:rPr>
      </w:pPr>
    </w:p>
    <w:p w14:paraId="38ADF5DA">
      <w:pPr>
        <w:spacing w:line="360" w:lineRule="auto"/>
        <w:ind w:firstLine="0" w:firstLineChars="0"/>
        <w:jc w:val="left"/>
        <w:rPr>
          <w:rFonts w:ascii="Times New Roman" w:hAnsi="Times New Roman" w:cs="Times New Roman"/>
          <w:snapToGrid w:val="0"/>
          <w:kern w:val="0"/>
          <w:sz w:val="20"/>
        </w:rPr>
      </w:pPr>
    </w:p>
    <w:p w14:paraId="62B026B8">
      <w:pPr>
        <w:spacing w:line="360" w:lineRule="auto"/>
        <w:ind w:firstLine="0" w:firstLineChars="0"/>
        <w:jc w:val="left"/>
        <w:rPr>
          <w:rFonts w:ascii="Times New Roman" w:hAnsi="Times New Roman" w:cs="Times New Roman"/>
          <w:snapToGrid w:val="0"/>
          <w:kern w:val="0"/>
          <w:sz w:val="20"/>
        </w:rPr>
      </w:pPr>
    </w:p>
    <w:p w14:paraId="70E5AF42">
      <w:pPr>
        <w:spacing w:line="360" w:lineRule="auto"/>
        <w:ind w:firstLine="0" w:firstLineChars="0"/>
        <w:jc w:val="left"/>
        <w:rPr>
          <w:rFonts w:ascii="Times New Roman" w:hAnsi="Times New Roman" w:cs="Times New Roman"/>
          <w:snapToGrid w:val="0"/>
          <w:kern w:val="0"/>
          <w:sz w:val="20"/>
        </w:rPr>
      </w:pPr>
    </w:p>
    <w:p w14:paraId="6D1C3212">
      <w:pPr>
        <w:spacing w:line="360" w:lineRule="auto"/>
        <w:ind w:firstLine="0" w:firstLineChars="0"/>
        <w:jc w:val="left"/>
        <w:rPr>
          <w:rFonts w:ascii="Times New Roman" w:hAnsi="Times New Roman" w:cs="Times New Roman"/>
          <w:snapToGrid w:val="0"/>
          <w:kern w:val="0"/>
          <w:sz w:val="20"/>
        </w:rPr>
      </w:pPr>
    </w:p>
    <w:p w14:paraId="1802CEC6">
      <w:pPr>
        <w:spacing w:line="360" w:lineRule="auto"/>
        <w:ind w:firstLine="0" w:firstLineChars="0"/>
        <w:jc w:val="left"/>
        <w:rPr>
          <w:rFonts w:ascii="Times New Roman" w:hAnsi="Times New Roman" w:cs="Times New Roman"/>
          <w:snapToGrid w:val="0"/>
          <w:kern w:val="0"/>
          <w:sz w:val="20"/>
        </w:rPr>
      </w:pPr>
    </w:p>
    <w:p w14:paraId="348E036A">
      <w:pPr>
        <w:spacing w:line="360" w:lineRule="auto"/>
        <w:ind w:firstLine="0" w:firstLineChars="0"/>
        <w:jc w:val="center"/>
        <w:rPr>
          <w:rFonts w:ascii="Times New Roman" w:hAnsi="Times New Roman" w:cs="Times New Roman"/>
          <w:b/>
          <w:snapToGrid w:val="0"/>
          <w:kern w:val="0"/>
          <w:sz w:val="84"/>
          <w:szCs w:val="84"/>
        </w:rPr>
      </w:pPr>
      <w:r>
        <w:rPr>
          <w:rFonts w:hint="eastAsia" w:ascii="Times New Roman" w:hAnsi="Times New Roman" w:cs="Times New Roman"/>
          <w:b/>
          <w:snapToGrid w:val="0"/>
          <w:kern w:val="0"/>
          <w:sz w:val="96"/>
          <w:szCs w:val="96"/>
        </w:rPr>
        <w:t>比选</w:t>
      </w:r>
      <w:r>
        <w:rPr>
          <w:rFonts w:ascii="Times New Roman" w:hAnsi="Times New Roman" w:cs="Times New Roman"/>
          <w:b/>
          <w:snapToGrid w:val="0"/>
          <w:kern w:val="0"/>
          <w:sz w:val="96"/>
          <w:szCs w:val="96"/>
        </w:rPr>
        <w:t>文件</w:t>
      </w:r>
    </w:p>
    <w:p w14:paraId="69D1CE5E">
      <w:pPr>
        <w:spacing w:line="360" w:lineRule="auto"/>
        <w:ind w:firstLine="0" w:firstLineChars="0"/>
        <w:jc w:val="center"/>
        <w:rPr>
          <w:rFonts w:ascii="Times New Roman" w:hAnsi="Times New Roman" w:cs="Times New Roman"/>
          <w:b/>
          <w:snapToGrid w:val="0"/>
          <w:kern w:val="0"/>
          <w:szCs w:val="28"/>
        </w:rPr>
      </w:pPr>
    </w:p>
    <w:p w14:paraId="3B99EE7F">
      <w:pPr>
        <w:spacing w:line="360" w:lineRule="auto"/>
        <w:ind w:firstLine="0" w:firstLineChars="0"/>
        <w:jc w:val="center"/>
        <w:rPr>
          <w:rFonts w:ascii="Times New Roman" w:hAnsi="Times New Roman" w:cs="Times New Roman"/>
          <w:b/>
          <w:snapToGrid w:val="0"/>
          <w:kern w:val="0"/>
          <w:szCs w:val="28"/>
        </w:rPr>
      </w:pPr>
    </w:p>
    <w:p w14:paraId="7A8CBCEE">
      <w:pPr>
        <w:spacing w:line="360" w:lineRule="auto"/>
        <w:ind w:firstLine="0" w:firstLineChars="0"/>
        <w:jc w:val="center"/>
        <w:rPr>
          <w:rFonts w:ascii="Times New Roman" w:hAnsi="Times New Roman" w:cs="Times New Roman"/>
          <w:b/>
          <w:snapToGrid w:val="0"/>
          <w:kern w:val="0"/>
          <w:szCs w:val="28"/>
        </w:rPr>
      </w:pPr>
    </w:p>
    <w:p w14:paraId="0916DB45">
      <w:pPr>
        <w:ind w:firstLine="0" w:firstLineChars="0"/>
        <w:rPr>
          <w:rFonts w:hint="eastAsia"/>
        </w:rPr>
      </w:pPr>
    </w:p>
    <w:p w14:paraId="2B039FCD">
      <w:pPr>
        <w:pStyle w:val="9"/>
        <w:ind w:firstLine="480"/>
        <w:rPr>
          <w:rFonts w:hint="eastAsia"/>
        </w:rPr>
      </w:pPr>
    </w:p>
    <w:p w14:paraId="5C3BCBB0">
      <w:pPr>
        <w:ind w:firstLine="480"/>
        <w:rPr>
          <w:rFonts w:hint="eastAsia"/>
        </w:rPr>
      </w:pPr>
    </w:p>
    <w:p w14:paraId="7F585BCD">
      <w:pPr>
        <w:ind w:firstLine="480"/>
        <w:rPr>
          <w:rFonts w:hint="eastAsia"/>
        </w:rPr>
      </w:pP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56"/>
        <w:gridCol w:w="4744"/>
        <w:gridCol w:w="2020"/>
      </w:tblGrid>
      <w:tr w14:paraId="428DC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56" w:type="dxa"/>
            <w:tcBorders>
              <w:tl2br w:val="nil"/>
              <w:tr2bl w:val="nil"/>
            </w:tcBorders>
            <w:vAlign w:val="center"/>
          </w:tcPr>
          <w:p w14:paraId="30607D38">
            <w:pPr>
              <w:spacing w:line="360" w:lineRule="auto"/>
              <w:ind w:firstLine="0" w:firstLineChars="0"/>
              <w:jc w:val="distribute"/>
              <w:rPr>
                <w:rFonts w:ascii="Times New Roman" w:hAnsi="Times New Roman" w:cs="Times New Roman"/>
                <w:b/>
                <w:snapToGrid w:val="0"/>
                <w:kern w:val="0"/>
                <w:sz w:val="30"/>
                <w:szCs w:val="30"/>
              </w:rPr>
            </w:pPr>
            <w:r>
              <w:rPr>
                <w:rFonts w:hint="eastAsia" w:ascii="Times New Roman" w:hAnsi="Times New Roman" w:cs="Times New Roman"/>
                <w:b/>
                <w:snapToGrid w:val="0"/>
                <w:kern w:val="0"/>
                <w:sz w:val="30"/>
                <w:szCs w:val="30"/>
              </w:rPr>
              <w:t>比选人</w:t>
            </w:r>
          </w:p>
        </w:tc>
        <w:tc>
          <w:tcPr>
            <w:tcW w:w="4744" w:type="dxa"/>
            <w:tcBorders>
              <w:tl2br w:val="nil"/>
              <w:tr2bl w:val="nil"/>
            </w:tcBorders>
            <w:vAlign w:val="center"/>
          </w:tcPr>
          <w:p w14:paraId="6BE929E4">
            <w:pPr>
              <w:spacing w:line="360" w:lineRule="auto"/>
              <w:ind w:firstLine="0" w:firstLineChars="0"/>
              <w:jc w:val="center"/>
              <w:rPr>
                <w:rFonts w:ascii="Times New Roman" w:hAnsi="Times New Roman" w:cs="Times New Roman"/>
                <w:b/>
                <w:snapToGrid w:val="0"/>
                <w:kern w:val="0"/>
                <w:sz w:val="30"/>
                <w:szCs w:val="30"/>
              </w:rPr>
            </w:pPr>
            <w:r>
              <w:rPr>
                <w:rFonts w:hint="eastAsia" w:ascii="Times New Roman" w:hAnsi="Times New Roman" w:cs="Times New Roman"/>
                <w:b/>
                <w:snapToGrid w:val="0"/>
                <w:kern w:val="0"/>
                <w:sz w:val="30"/>
                <w:szCs w:val="30"/>
              </w:rPr>
              <w:t>重庆三峡银行股份有限公司</w:t>
            </w:r>
          </w:p>
        </w:tc>
        <w:tc>
          <w:tcPr>
            <w:tcW w:w="2020" w:type="dxa"/>
            <w:vMerge w:val="restart"/>
            <w:tcBorders>
              <w:tl2br w:val="nil"/>
              <w:tr2bl w:val="nil"/>
            </w:tcBorders>
            <w:vAlign w:val="center"/>
          </w:tcPr>
          <w:p w14:paraId="471B7637">
            <w:pPr>
              <w:spacing w:line="360" w:lineRule="auto"/>
              <w:ind w:firstLine="0" w:firstLineChars="0"/>
              <w:jc w:val="center"/>
              <w:rPr>
                <w:rFonts w:ascii="Times New Roman" w:hAnsi="Times New Roman" w:cs="Times New Roman"/>
                <w:b/>
                <w:snapToGrid w:val="0"/>
                <w:kern w:val="0"/>
                <w:sz w:val="30"/>
                <w:szCs w:val="30"/>
              </w:rPr>
            </w:pPr>
            <w:r>
              <w:rPr>
                <w:rFonts w:hint="eastAsia" w:ascii="Times New Roman" w:hAnsi="Times New Roman" w:cs="Times New Roman"/>
                <w:bCs/>
                <w:snapToGrid w:val="0"/>
                <w:kern w:val="0"/>
                <w:szCs w:val="24"/>
              </w:rPr>
              <w:t>（盖单位公章）</w:t>
            </w:r>
          </w:p>
        </w:tc>
      </w:tr>
      <w:tr w14:paraId="52197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56" w:type="dxa"/>
            <w:tcBorders>
              <w:tl2br w:val="nil"/>
              <w:tr2bl w:val="nil"/>
            </w:tcBorders>
            <w:vAlign w:val="center"/>
          </w:tcPr>
          <w:p w14:paraId="50880B21">
            <w:pPr>
              <w:spacing w:line="360" w:lineRule="auto"/>
              <w:ind w:firstLine="0" w:firstLineChars="0"/>
              <w:jc w:val="distribute"/>
              <w:rPr>
                <w:rFonts w:ascii="Times New Roman" w:hAnsi="Times New Roman" w:cs="Times New Roman"/>
                <w:b/>
                <w:snapToGrid w:val="0"/>
                <w:kern w:val="0"/>
                <w:sz w:val="30"/>
                <w:szCs w:val="30"/>
              </w:rPr>
            </w:pPr>
            <w:r>
              <w:rPr>
                <w:rFonts w:hint="eastAsia" w:ascii="Times New Roman" w:hAnsi="Times New Roman" w:cs="Times New Roman"/>
                <w:b/>
                <w:snapToGrid w:val="0"/>
                <w:kern w:val="0"/>
                <w:sz w:val="30"/>
                <w:szCs w:val="30"/>
              </w:rPr>
              <w:t>发布时间</w:t>
            </w:r>
          </w:p>
        </w:tc>
        <w:tc>
          <w:tcPr>
            <w:tcW w:w="4744" w:type="dxa"/>
            <w:tcBorders>
              <w:tl2br w:val="nil"/>
              <w:tr2bl w:val="nil"/>
            </w:tcBorders>
            <w:vAlign w:val="center"/>
          </w:tcPr>
          <w:p w14:paraId="7CCE1ABD">
            <w:pPr>
              <w:spacing w:line="360" w:lineRule="auto"/>
              <w:ind w:firstLine="0" w:firstLineChars="0"/>
              <w:jc w:val="center"/>
              <w:rPr>
                <w:rFonts w:ascii="Times New Roman" w:hAnsi="Times New Roman" w:cs="Times New Roman"/>
                <w:b/>
                <w:snapToGrid w:val="0"/>
                <w:kern w:val="0"/>
                <w:sz w:val="30"/>
                <w:szCs w:val="30"/>
              </w:rPr>
            </w:pPr>
            <w:r>
              <w:rPr>
                <w:rFonts w:hint="eastAsia" w:ascii="Times New Roman" w:hAnsi="Times New Roman" w:cs="Times New Roman"/>
                <w:b/>
                <w:snapToGrid w:val="0"/>
                <w:kern w:val="0"/>
                <w:sz w:val="30"/>
                <w:szCs w:val="30"/>
              </w:rPr>
              <w:t>2024</w:t>
            </w:r>
            <w:r>
              <w:rPr>
                <w:rFonts w:ascii="Times New Roman" w:hAnsi="Times New Roman" w:cs="Times New Roman"/>
                <w:b/>
                <w:snapToGrid w:val="0"/>
                <w:kern w:val="0"/>
                <w:sz w:val="30"/>
                <w:szCs w:val="30"/>
              </w:rPr>
              <w:t>年11月</w:t>
            </w:r>
          </w:p>
        </w:tc>
        <w:tc>
          <w:tcPr>
            <w:tcW w:w="2020" w:type="dxa"/>
            <w:vMerge w:val="continue"/>
            <w:tcBorders>
              <w:tl2br w:val="nil"/>
              <w:tr2bl w:val="nil"/>
            </w:tcBorders>
            <w:vAlign w:val="center"/>
          </w:tcPr>
          <w:p w14:paraId="7B1D29F6">
            <w:pPr>
              <w:spacing w:line="360" w:lineRule="auto"/>
              <w:ind w:firstLine="0" w:firstLineChars="0"/>
              <w:jc w:val="center"/>
              <w:rPr>
                <w:rFonts w:ascii="Times New Roman" w:hAnsi="Times New Roman" w:cs="Times New Roman"/>
                <w:b/>
                <w:snapToGrid w:val="0"/>
                <w:kern w:val="0"/>
                <w:sz w:val="30"/>
                <w:szCs w:val="30"/>
              </w:rPr>
            </w:pPr>
          </w:p>
        </w:tc>
      </w:tr>
    </w:tbl>
    <w:p w14:paraId="3BAC41BB">
      <w:pPr>
        <w:ind w:firstLine="480"/>
        <w:rPr>
          <w:rFonts w:hint="eastAsia"/>
        </w:rPr>
      </w:pPr>
    </w:p>
    <w:p w14:paraId="2FE95CCC">
      <w:pPr>
        <w:ind w:firstLine="480"/>
        <w:rPr>
          <w:rFonts w:hint="eastAsia"/>
        </w:rPr>
        <w:sectPr>
          <w:headerReference r:id="rId5" w:type="default"/>
          <w:footerReference r:id="rId6" w:type="default"/>
          <w:pgSz w:w="11906" w:h="16838"/>
          <w:pgMar w:top="1440" w:right="1800" w:bottom="1440" w:left="1800" w:header="851" w:footer="992" w:gutter="0"/>
          <w:pgNumType w:start="1"/>
          <w:cols w:space="720" w:num="1"/>
          <w:docGrid w:type="lines" w:linePitch="312" w:charSpace="0"/>
        </w:sectPr>
      </w:pPr>
    </w:p>
    <w:p w14:paraId="77E4CC6D">
      <w:pPr>
        <w:snapToGrid w:val="0"/>
        <w:spacing w:line="360" w:lineRule="auto"/>
        <w:ind w:firstLine="0" w:firstLineChars="0"/>
        <w:jc w:val="center"/>
        <w:rPr>
          <w:rFonts w:ascii="宋体" w:hAnsi="宋体"/>
          <w:b/>
          <w:snapToGrid w:val="0"/>
          <w:kern w:val="0"/>
          <w:sz w:val="44"/>
          <w:szCs w:val="44"/>
        </w:rPr>
      </w:pPr>
      <w:r>
        <w:rPr>
          <w:rFonts w:hint="eastAsia" w:ascii="宋体" w:hAnsi="宋体"/>
          <w:b/>
          <w:snapToGrid w:val="0"/>
          <w:kern w:val="0"/>
          <w:sz w:val="44"/>
          <w:szCs w:val="44"/>
        </w:rPr>
        <w:t>目录</w:t>
      </w:r>
    </w:p>
    <w:p w14:paraId="5C512B29">
      <w:pPr>
        <w:pStyle w:val="13"/>
        <w:tabs>
          <w:tab w:val="right" w:leader="dot" w:pos="8306"/>
        </w:tabs>
      </w:pPr>
      <w:r>
        <w:rPr>
          <w:rFonts w:ascii="宋体" w:hAnsi="宋体"/>
          <w:snapToGrid w:val="0"/>
          <w:kern w:val="0"/>
          <w:szCs w:val="24"/>
        </w:rPr>
        <w:fldChar w:fldCharType="begin"/>
      </w:r>
      <w:r>
        <w:rPr>
          <w:rFonts w:hint="eastAsia" w:ascii="宋体" w:hAnsi="宋体"/>
          <w:snapToGrid w:val="0"/>
          <w:kern w:val="0"/>
          <w:szCs w:val="24"/>
        </w:rPr>
        <w:instrText xml:space="preserve">TOC \o "1-1" \h \z \u</w:instrText>
      </w:r>
      <w:r>
        <w:rPr>
          <w:rFonts w:ascii="宋体" w:hAnsi="宋体"/>
          <w:snapToGrid w:val="0"/>
          <w:kern w:val="0"/>
          <w:szCs w:val="24"/>
        </w:rPr>
        <w:fldChar w:fldCharType="separate"/>
      </w:r>
      <w:r>
        <w:rPr>
          <w:rFonts w:ascii="宋体" w:hAnsi="宋体"/>
          <w:snapToGrid w:val="0"/>
          <w:kern w:val="0"/>
          <w:szCs w:val="24"/>
        </w:rPr>
        <w:fldChar w:fldCharType="begin"/>
      </w:r>
      <w:r>
        <w:rPr>
          <w:rFonts w:ascii="宋体" w:hAnsi="宋体"/>
          <w:snapToGrid w:val="0"/>
          <w:kern w:val="0"/>
          <w:szCs w:val="24"/>
        </w:rPr>
        <w:instrText xml:space="preserve"> HYPERLINK \l _Toc12604 </w:instrText>
      </w:r>
      <w:r>
        <w:rPr>
          <w:rFonts w:ascii="宋体" w:hAnsi="宋体"/>
          <w:snapToGrid w:val="0"/>
          <w:kern w:val="0"/>
          <w:szCs w:val="24"/>
        </w:rPr>
        <w:fldChar w:fldCharType="separate"/>
      </w:r>
      <w:r>
        <w:rPr>
          <w:rFonts w:hint="eastAsia"/>
        </w:rPr>
        <w:t>第一章 比选公告</w:t>
      </w:r>
      <w:r>
        <w:tab/>
      </w:r>
      <w:r>
        <w:fldChar w:fldCharType="begin"/>
      </w:r>
      <w:r>
        <w:instrText xml:space="preserve"> PAGEREF _Toc12604 \h </w:instrText>
      </w:r>
      <w:r>
        <w:fldChar w:fldCharType="separate"/>
      </w:r>
      <w:r>
        <w:t>1</w:t>
      </w:r>
      <w:r>
        <w:fldChar w:fldCharType="end"/>
      </w:r>
      <w:r>
        <w:rPr>
          <w:rFonts w:ascii="宋体" w:hAnsi="宋体"/>
          <w:snapToGrid w:val="0"/>
          <w:kern w:val="0"/>
          <w:szCs w:val="24"/>
        </w:rPr>
        <w:fldChar w:fldCharType="end"/>
      </w:r>
    </w:p>
    <w:p w14:paraId="5F8CAC1D">
      <w:pPr>
        <w:pStyle w:val="13"/>
        <w:tabs>
          <w:tab w:val="right" w:leader="dot" w:pos="8306"/>
        </w:tabs>
      </w:pPr>
      <w:r>
        <w:rPr>
          <w:rFonts w:ascii="宋体" w:hAnsi="宋体"/>
          <w:snapToGrid w:val="0"/>
          <w:kern w:val="0"/>
          <w:szCs w:val="24"/>
        </w:rPr>
        <w:fldChar w:fldCharType="begin"/>
      </w:r>
      <w:r>
        <w:rPr>
          <w:rFonts w:ascii="宋体" w:hAnsi="宋体"/>
          <w:snapToGrid w:val="0"/>
          <w:kern w:val="0"/>
          <w:szCs w:val="24"/>
        </w:rPr>
        <w:instrText xml:space="preserve"> HYPERLINK \l _Toc15296 </w:instrText>
      </w:r>
      <w:r>
        <w:rPr>
          <w:rFonts w:ascii="宋体" w:hAnsi="宋体"/>
          <w:snapToGrid w:val="0"/>
          <w:kern w:val="0"/>
          <w:szCs w:val="24"/>
        </w:rPr>
        <w:fldChar w:fldCharType="separate"/>
      </w:r>
      <w:r>
        <w:rPr>
          <w:rFonts w:hint="eastAsia"/>
        </w:rPr>
        <w:t>第二章 参选人须知</w:t>
      </w:r>
      <w:r>
        <w:tab/>
      </w:r>
      <w:r>
        <w:fldChar w:fldCharType="begin"/>
      </w:r>
      <w:r>
        <w:instrText xml:space="preserve"> PAGEREF _Toc15296 \h </w:instrText>
      </w:r>
      <w:r>
        <w:fldChar w:fldCharType="separate"/>
      </w:r>
      <w:r>
        <w:t>5</w:t>
      </w:r>
      <w:r>
        <w:fldChar w:fldCharType="end"/>
      </w:r>
      <w:r>
        <w:rPr>
          <w:rFonts w:ascii="宋体" w:hAnsi="宋体"/>
          <w:snapToGrid w:val="0"/>
          <w:kern w:val="0"/>
          <w:szCs w:val="24"/>
        </w:rPr>
        <w:fldChar w:fldCharType="end"/>
      </w:r>
    </w:p>
    <w:p w14:paraId="01C62637">
      <w:pPr>
        <w:pStyle w:val="13"/>
        <w:tabs>
          <w:tab w:val="right" w:leader="dot" w:pos="8306"/>
        </w:tabs>
      </w:pPr>
      <w:r>
        <w:rPr>
          <w:rFonts w:ascii="宋体" w:hAnsi="宋体"/>
          <w:snapToGrid w:val="0"/>
          <w:kern w:val="0"/>
          <w:szCs w:val="24"/>
        </w:rPr>
        <w:fldChar w:fldCharType="begin"/>
      </w:r>
      <w:r>
        <w:rPr>
          <w:rFonts w:ascii="宋体" w:hAnsi="宋体"/>
          <w:snapToGrid w:val="0"/>
          <w:kern w:val="0"/>
          <w:szCs w:val="24"/>
        </w:rPr>
        <w:instrText xml:space="preserve"> HYPERLINK \l _Toc7704 </w:instrText>
      </w:r>
      <w:r>
        <w:rPr>
          <w:rFonts w:ascii="宋体" w:hAnsi="宋体"/>
          <w:snapToGrid w:val="0"/>
          <w:kern w:val="0"/>
          <w:szCs w:val="24"/>
        </w:rPr>
        <w:fldChar w:fldCharType="separate"/>
      </w:r>
      <w:r>
        <w:rPr>
          <w:rFonts w:hint="eastAsia"/>
        </w:rPr>
        <w:t>第三章 项目要求</w:t>
      </w:r>
      <w:r>
        <w:tab/>
      </w:r>
      <w:r>
        <w:fldChar w:fldCharType="begin"/>
      </w:r>
      <w:r>
        <w:instrText xml:space="preserve"> PAGEREF _Toc7704 \h </w:instrText>
      </w:r>
      <w:r>
        <w:fldChar w:fldCharType="separate"/>
      </w:r>
      <w:r>
        <w:t>14</w:t>
      </w:r>
      <w:r>
        <w:fldChar w:fldCharType="end"/>
      </w:r>
      <w:r>
        <w:rPr>
          <w:rFonts w:ascii="宋体" w:hAnsi="宋体"/>
          <w:snapToGrid w:val="0"/>
          <w:kern w:val="0"/>
          <w:szCs w:val="24"/>
        </w:rPr>
        <w:fldChar w:fldCharType="end"/>
      </w:r>
    </w:p>
    <w:p w14:paraId="3FBCB3BC">
      <w:pPr>
        <w:pStyle w:val="13"/>
        <w:tabs>
          <w:tab w:val="right" w:leader="dot" w:pos="8306"/>
        </w:tabs>
      </w:pPr>
      <w:r>
        <w:rPr>
          <w:rFonts w:ascii="宋体" w:hAnsi="宋体"/>
          <w:snapToGrid w:val="0"/>
          <w:kern w:val="0"/>
          <w:szCs w:val="24"/>
        </w:rPr>
        <w:fldChar w:fldCharType="begin"/>
      </w:r>
      <w:r>
        <w:rPr>
          <w:rFonts w:ascii="宋体" w:hAnsi="宋体"/>
          <w:snapToGrid w:val="0"/>
          <w:kern w:val="0"/>
          <w:szCs w:val="24"/>
        </w:rPr>
        <w:instrText xml:space="preserve"> HYPERLINK \l _Toc6357 </w:instrText>
      </w:r>
      <w:r>
        <w:rPr>
          <w:rFonts w:ascii="宋体" w:hAnsi="宋体"/>
          <w:snapToGrid w:val="0"/>
          <w:kern w:val="0"/>
          <w:szCs w:val="24"/>
        </w:rPr>
        <w:fldChar w:fldCharType="separate"/>
      </w:r>
      <w:r>
        <w:rPr>
          <w:rFonts w:hint="eastAsia"/>
        </w:rPr>
        <w:t>第四章 评审办法（经</w:t>
      </w:r>
      <w:bookmarkStart w:id="103" w:name="_GoBack"/>
      <w:bookmarkEnd w:id="103"/>
      <w:r>
        <w:rPr>
          <w:rFonts w:hint="eastAsia"/>
        </w:rPr>
        <w:t>评审的最低价法）</w:t>
      </w:r>
      <w:r>
        <w:tab/>
      </w:r>
      <w:r>
        <w:fldChar w:fldCharType="begin"/>
      </w:r>
      <w:r>
        <w:instrText xml:space="preserve"> PAGEREF _Toc6357 \h </w:instrText>
      </w:r>
      <w:r>
        <w:fldChar w:fldCharType="separate"/>
      </w:r>
      <w:r>
        <w:t>16</w:t>
      </w:r>
      <w:r>
        <w:fldChar w:fldCharType="end"/>
      </w:r>
      <w:r>
        <w:rPr>
          <w:rFonts w:ascii="宋体" w:hAnsi="宋体"/>
          <w:snapToGrid w:val="0"/>
          <w:kern w:val="0"/>
          <w:szCs w:val="24"/>
        </w:rPr>
        <w:fldChar w:fldCharType="end"/>
      </w:r>
    </w:p>
    <w:p w14:paraId="2BBB3350">
      <w:pPr>
        <w:pStyle w:val="13"/>
        <w:tabs>
          <w:tab w:val="right" w:leader="dot" w:pos="8306"/>
        </w:tabs>
      </w:pPr>
      <w:r>
        <w:rPr>
          <w:rFonts w:ascii="宋体" w:hAnsi="宋体"/>
          <w:snapToGrid w:val="0"/>
          <w:kern w:val="0"/>
          <w:szCs w:val="24"/>
        </w:rPr>
        <w:fldChar w:fldCharType="begin"/>
      </w:r>
      <w:r>
        <w:rPr>
          <w:rFonts w:ascii="宋体" w:hAnsi="宋体"/>
          <w:snapToGrid w:val="0"/>
          <w:kern w:val="0"/>
          <w:szCs w:val="24"/>
        </w:rPr>
        <w:instrText xml:space="preserve"> HYPERLINK \l _Toc3322 </w:instrText>
      </w:r>
      <w:r>
        <w:rPr>
          <w:rFonts w:ascii="宋体" w:hAnsi="宋体"/>
          <w:snapToGrid w:val="0"/>
          <w:kern w:val="0"/>
          <w:szCs w:val="24"/>
        </w:rPr>
        <w:fldChar w:fldCharType="separate"/>
      </w:r>
      <w:r>
        <w:rPr>
          <w:rFonts w:hint="eastAsia"/>
        </w:rPr>
        <w:t>第五章 合同</w:t>
      </w:r>
      <w:r>
        <w:t>模板</w:t>
      </w:r>
      <w:r>
        <w:tab/>
      </w:r>
      <w:r>
        <w:fldChar w:fldCharType="begin"/>
      </w:r>
      <w:r>
        <w:instrText xml:space="preserve"> PAGEREF _Toc3322 \h </w:instrText>
      </w:r>
      <w:r>
        <w:fldChar w:fldCharType="separate"/>
      </w:r>
      <w:r>
        <w:t>21</w:t>
      </w:r>
      <w:r>
        <w:fldChar w:fldCharType="end"/>
      </w:r>
      <w:r>
        <w:rPr>
          <w:rFonts w:ascii="宋体" w:hAnsi="宋体"/>
          <w:snapToGrid w:val="0"/>
          <w:kern w:val="0"/>
          <w:szCs w:val="24"/>
        </w:rPr>
        <w:fldChar w:fldCharType="end"/>
      </w:r>
    </w:p>
    <w:p w14:paraId="05D54397">
      <w:pPr>
        <w:pStyle w:val="13"/>
        <w:tabs>
          <w:tab w:val="right" w:leader="dot" w:pos="8306"/>
        </w:tabs>
      </w:pPr>
      <w:r>
        <w:rPr>
          <w:rFonts w:ascii="宋体" w:hAnsi="宋体"/>
          <w:snapToGrid w:val="0"/>
          <w:kern w:val="0"/>
          <w:szCs w:val="24"/>
        </w:rPr>
        <w:fldChar w:fldCharType="begin"/>
      </w:r>
      <w:r>
        <w:rPr>
          <w:rFonts w:ascii="宋体" w:hAnsi="宋体"/>
          <w:snapToGrid w:val="0"/>
          <w:kern w:val="0"/>
          <w:szCs w:val="24"/>
        </w:rPr>
        <w:instrText xml:space="preserve"> HYPERLINK \l _Toc26216 </w:instrText>
      </w:r>
      <w:r>
        <w:rPr>
          <w:rFonts w:ascii="宋体" w:hAnsi="宋体"/>
          <w:snapToGrid w:val="0"/>
          <w:kern w:val="0"/>
          <w:szCs w:val="24"/>
        </w:rPr>
        <w:fldChar w:fldCharType="separate"/>
      </w:r>
      <w:r>
        <w:rPr>
          <w:rFonts w:hint="eastAsia"/>
        </w:rPr>
        <w:t>第六章 参选文件格式</w:t>
      </w:r>
      <w:r>
        <w:tab/>
      </w:r>
      <w:r>
        <w:fldChar w:fldCharType="begin"/>
      </w:r>
      <w:r>
        <w:instrText xml:space="preserve"> PAGEREF _Toc26216 \h </w:instrText>
      </w:r>
      <w:r>
        <w:fldChar w:fldCharType="separate"/>
      </w:r>
      <w:r>
        <w:t>27</w:t>
      </w:r>
      <w:r>
        <w:fldChar w:fldCharType="end"/>
      </w:r>
      <w:r>
        <w:rPr>
          <w:rFonts w:ascii="宋体" w:hAnsi="宋体"/>
          <w:snapToGrid w:val="0"/>
          <w:kern w:val="0"/>
          <w:szCs w:val="24"/>
        </w:rPr>
        <w:fldChar w:fldCharType="end"/>
      </w:r>
    </w:p>
    <w:p w14:paraId="7A6C5190">
      <w:pPr>
        <w:widowControl/>
        <w:ind w:firstLine="480"/>
        <w:jc w:val="left"/>
        <w:rPr>
          <w:rFonts w:ascii="宋体" w:hAnsi="宋体"/>
          <w:snapToGrid w:val="0"/>
          <w:kern w:val="0"/>
          <w:szCs w:val="24"/>
        </w:rPr>
      </w:pPr>
      <w:r>
        <w:rPr>
          <w:rFonts w:ascii="宋体" w:hAnsi="宋体"/>
          <w:snapToGrid w:val="0"/>
          <w:kern w:val="0"/>
          <w:szCs w:val="24"/>
        </w:rPr>
        <w:fldChar w:fldCharType="end"/>
      </w:r>
    </w:p>
    <w:p w14:paraId="644A5EE4">
      <w:pPr>
        <w:widowControl/>
        <w:ind w:firstLine="480"/>
        <w:jc w:val="left"/>
        <w:rPr>
          <w:rFonts w:ascii="宋体" w:hAnsi="宋体"/>
          <w:snapToGrid w:val="0"/>
          <w:kern w:val="0"/>
          <w:szCs w:val="24"/>
        </w:rPr>
        <w:sectPr>
          <w:pgSz w:w="11906" w:h="16838"/>
          <w:pgMar w:top="1440" w:right="1800" w:bottom="1440" w:left="1800" w:header="851" w:footer="992" w:gutter="0"/>
          <w:pgNumType w:start="1"/>
          <w:cols w:space="720" w:num="1"/>
          <w:docGrid w:type="lines" w:linePitch="312" w:charSpace="0"/>
        </w:sectPr>
      </w:pPr>
    </w:p>
    <w:p w14:paraId="79FE9B51">
      <w:pPr>
        <w:pStyle w:val="2"/>
      </w:pPr>
      <w:bookmarkStart w:id="0" w:name="_Toc440628903"/>
      <w:bookmarkStart w:id="1" w:name="_Toc22368"/>
      <w:bookmarkStart w:id="2" w:name="_Toc6745"/>
      <w:bookmarkStart w:id="3" w:name="_Toc9846"/>
      <w:bookmarkStart w:id="4" w:name="_Toc12604"/>
      <w:bookmarkStart w:id="5" w:name="_Toc469574661"/>
      <w:r>
        <w:rPr>
          <w:rFonts w:hint="eastAsia"/>
        </w:rPr>
        <w:t>第一章</w:t>
      </w:r>
      <w:bookmarkEnd w:id="0"/>
      <w:r>
        <w:rPr>
          <w:rFonts w:hint="eastAsia"/>
        </w:rPr>
        <w:t xml:space="preserve"> 比选公告</w:t>
      </w:r>
      <w:bookmarkEnd w:id="1"/>
      <w:bookmarkEnd w:id="2"/>
      <w:bookmarkEnd w:id="3"/>
      <w:bookmarkEnd w:id="4"/>
      <w:bookmarkEnd w:id="5"/>
    </w:p>
    <w:p w14:paraId="69E76104">
      <w:pPr>
        <w:ind w:firstLine="480"/>
        <w:rPr>
          <w:rFonts w:hint="eastAsia" w:ascii="宋体" w:cs="Cambria"/>
          <w:snapToGrid w:val="0"/>
          <w:kern w:val="0"/>
          <w:szCs w:val="24"/>
        </w:rPr>
      </w:pPr>
      <w:bookmarkStart w:id="6" w:name="_Toc89675127"/>
      <w:bookmarkStart w:id="7" w:name="_Toc55379218"/>
      <w:r>
        <w:rPr>
          <w:rFonts w:hint="eastAsia" w:ascii="宋体" w:cs="Cambria"/>
          <w:snapToGrid w:val="0"/>
          <w:kern w:val="0"/>
          <w:szCs w:val="24"/>
        </w:rPr>
        <w:t>为提升我行的品牌曝光度及影响力，我行拟于2024年</w:t>
      </w:r>
      <w:r>
        <w:rPr>
          <w:rFonts w:ascii="宋体" w:cs="Cambria"/>
          <w:snapToGrid w:val="0"/>
          <w:kern w:val="0"/>
          <w:szCs w:val="24"/>
        </w:rPr>
        <w:t>12月至</w:t>
      </w:r>
      <w:r>
        <w:rPr>
          <w:rFonts w:hint="eastAsia" w:ascii="宋体" w:cs="Cambria"/>
          <w:snapToGrid w:val="0"/>
          <w:kern w:val="0"/>
          <w:szCs w:val="24"/>
        </w:rPr>
        <w:t>2</w:t>
      </w:r>
      <w:r>
        <w:rPr>
          <w:rFonts w:ascii="宋体" w:cs="Cambria"/>
          <w:snapToGrid w:val="0"/>
          <w:kern w:val="0"/>
          <w:szCs w:val="24"/>
        </w:rPr>
        <w:t>025年</w:t>
      </w:r>
      <w:r>
        <w:rPr>
          <w:rFonts w:hint="eastAsia" w:ascii="宋体" w:cs="Cambria"/>
          <w:snapToGrid w:val="0"/>
          <w:kern w:val="0"/>
          <w:szCs w:val="24"/>
        </w:rPr>
        <w:t>1月投放轨道交通1、3号线站台车到提醒冠名广告。现对重庆三峡银行轨道交通1、3号线站台车到提醒冠名广告项目进行公开比选，特邀请有</w:t>
      </w:r>
      <w:bookmarkStart w:id="8" w:name="_Hlk59455120"/>
      <w:r>
        <w:rPr>
          <w:rFonts w:hint="eastAsia" w:ascii="宋体" w:cs="Cambria"/>
          <w:snapToGrid w:val="0"/>
          <w:kern w:val="0"/>
          <w:szCs w:val="24"/>
        </w:rPr>
        <w:t>意向</w:t>
      </w:r>
      <w:bookmarkEnd w:id="8"/>
      <w:r>
        <w:rPr>
          <w:rFonts w:hint="eastAsia" w:ascii="宋体" w:cs="Cambria"/>
          <w:snapToGrid w:val="0"/>
          <w:kern w:val="0"/>
          <w:szCs w:val="24"/>
        </w:rPr>
        <w:t>的潜在参选人进行参选。</w:t>
      </w:r>
    </w:p>
    <w:p w14:paraId="798949E1">
      <w:pPr>
        <w:pStyle w:val="3"/>
      </w:pPr>
      <w:r>
        <w:rPr>
          <w:rFonts w:hint="eastAsia"/>
        </w:rPr>
        <w:t>1. 比选项目内容</w:t>
      </w:r>
      <w:bookmarkEnd w:id="6"/>
      <w:bookmarkEnd w:id="7"/>
    </w:p>
    <w:tbl>
      <w:tblPr>
        <w:tblStyle w:val="15"/>
        <w:tblW w:w="54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4"/>
        <w:gridCol w:w="3067"/>
        <w:gridCol w:w="1103"/>
        <w:gridCol w:w="959"/>
        <w:gridCol w:w="2104"/>
      </w:tblGrid>
      <w:tr w14:paraId="0761E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076" w:type="pct"/>
            <w:vAlign w:val="center"/>
          </w:tcPr>
          <w:p w14:paraId="69D6109E">
            <w:pPr>
              <w:adjustRightInd w:val="0"/>
              <w:snapToGrid w:val="0"/>
              <w:spacing w:line="240" w:lineRule="auto"/>
              <w:ind w:firstLine="0" w:firstLineChars="0"/>
              <w:jc w:val="center"/>
              <w:rPr>
                <w:rFonts w:ascii="宋体" w:hAnsi="宋体" w:cs="宋体"/>
                <w:b/>
                <w:snapToGrid w:val="0"/>
                <w:sz w:val="21"/>
                <w:szCs w:val="21"/>
              </w:rPr>
            </w:pPr>
            <w:r>
              <w:rPr>
                <w:rFonts w:hint="eastAsia" w:ascii="宋体" w:hAnsi="宋体" w:cs="宋体"/>
                <w:b/>
                <w:snapToGrid w:val="0"/>
                <w:sz w:val="21"/>
                <w:szCs w:val="21"/>
              </w:rPr>
              <w:t>项目名称</w:t>
            </w:r>
          </w:p>
        </w:tc>
        <w:tc>
          <w:tcPr>
            <w:tcW w:w="1663" w:type="pct"/>
            <w:vAlign w:val="center"/>
          </w:tcPr>
          <w:p w14:paraId="7A691471">
            <w:pPr>
              <w:adjustRightInd w:val="0"/>
              <w:snapToGrid w:val="0"/>
              <w:spacing w:line="240" w:lineRule="auto"/>
              <w:ind w:firstLine="0" w:firstLineChars="0"/>
              <w:jc w:val="center"/>
              <w:rPr>
                <w:rFonts w:ascii="宋体" w:hAnsi="宋体" w:cs="宋体"/>
                <w:b/>
                <w:snapToGrid w:val="0"/>
                <w:sz w:val="21"/>
                <w:szCs w:val="21"/>
              </w:rPr>
            </w:pPr>
            <w:r>
              <w:rPr>
                <w:rFonts w:hint="eastAsia" w:ascii="宋体" w:hAnsi="宋体" w:cs="宋体"/>
                <w:b/>
                <w:snapToGrid w:val="0"/>
                <w:sz w:val="21"/>
                <w:szCs w:val="21"/>
              </w:rPr>
              <w:t>媒体规格</w:t>
            </w:r>
          </w:p>
        </w:tc>
        <w:tc>
          <w:tcPr>
            <w:tcW w:w="598" w:type="pct"/>
            <w:vAlign w:val="center"/>
          </w:tcPr>
          <w:p w14:paraId="1972A8AD">
            <w:pPr>
              <w:adjustRightInd w:val="0"/>
              <w:snapToGrid w:val="0"/>
              <w:spacing w:line="240" w:lineRule="auto"/>
              <w:ind w:firstLine="0" w:firstLineChars="0"/>
              <w:jc w:val="center"/>
              <w:rPr>
                <w:rFonts w:ascii="宋体" w:hAnsi="宋体" w:cs="宋体"/>
                <w:b/>
                <w:snapToGrid w:val="0"/>
                <w:sz w:val="21"/>
                <w:szCs w:val="21"/>
              </w:rPr>
            </w:pPr>
            <w:r>
              <w:rPr>
                <w:rFonts w:hint="eastAsia" w:ascii="宋体" w:hAnsi="宋体" w:cs="宋体"/>
                <w:b/>
                <w:snapToGrid w:val="0"/>
                <w:sz w:val="21"/>
                <w:szCs w:val="21"/>
              </w:rPr>
              <w:t>最高限价</w:t>
            </w:r>
          </w:p>
          <w:p w14:paraId="46608E73">
            <w:pPr>
              <w:adjustRightInd w:val="0"/>
              <w:snapToGrid w:val="0"/>
              <w:spacing w:line="240" w:lineRule="auto"/>
              <w:ind w:firstLine="0" w:firstLineChars="0"/>
              <w:jc w:val="center"/>
              <w:rPr>
                <w:rFonts w:ascii="宋体" w:hAnsi="宋体" w:cs="宋体"/>
                <w:b/>
                <w:snapToGrid w:val="0"/>
                <w:sz w:val="21"/>
                <w:szCs w:val="21"/>
              </w:rPr>
            </w:pPr>
            <w:r>
              <w:rPr>
                <w:rFonts w:hint="eastAsia" w:ascii="宋体" w:hAnsi="宋体" w:cs="宋体"/>
                <w:b/>
                <w:snapToGrid w:val="0"/>
                <w:sz w:val="21"/>
                <w:szCs w:val="21"/>
              </w:rPr>
              <w:t>（含税）</w:t>
            </w:r>
          </w:p>
        </w:tc>
        <w:tc>
          <w:tcPr>
            <w:tcW w:w="520" w:type="pct"/>
            <w:vAlign w:val="center"/>
          </w:tcPr>
          <w:p w14:paraId="1CF82B0C">
            <w:pPr>
              <w:adjustRightInd w:val="0"/>
              <w:snapToGrid w:val="0"/>
              <w:spacing w:line="240" w:lineRule="auto"/>
              <w:ind w:firstLine="0" w:firstLineChars="0"/>
              <w:jc w:val="center"/>
              <w:rPr>
                <w:rFonts w:ascii="宋体" w:hAnsi="宋体" w:cs="宋体"/>
                <w:b/>
                <w:snapToGrid w:val="0"/>
                <w:sz w:val="21"/>
                <w:szCs w:val="21"/>
              </w:rPr>
            </w:pPr>
            <w:r>
              <w:rPr>
                <w:rFonts w:hint="eastAsia" w:ascii="宋体" w:hAnsi="宋体" w:cs="宋体"/>
                <w:b/>
                <w:snapToGrid w:val="0"/>
                <w:sz w:val="21"/>
                <w:szCs w:val="21"/>
              </w:rPr>
              <w:t>中选人数量</w:t>
            </w:r>
          </w:p>
        </w:tc>
        <w:tc>
          <w:tcPr>
            <w:tcW w:w="1141" w:type="pct"/>
            <w:vAlign w:val="center"/>
          </w:tcPr>
          <w:p w14:paraId="6434B414">
            <w:pPr>
              <w:adjustRightInd w:val="0"/>
              <w:snapToGrid w:val="0"/>
              <w:spacing w:line="240" w:lineRule="auto"/>
              <w:ind w:firstLine="0" w:firstLineChars="0"/>
              <w:jc w:val="center"/>
              <w:rPr>
                <w:rFonts w:ascii="宋体" w:hAnsi="宋体" w:cs="宋体"/>
                <w:b/>
                <w:snapToGrid w:val="0"/>
                <w:sz w:val="21"/>
                <w:szCs w:val="21"/>
              </w:rPr>
            </w:pPr>
            <w:r>
              <w:rPr>
                <w:rFonts w:hint="eastAsia" w:ascii="宋体" w:hAnsi="宋体" w:cs="宋体"/>
                <w:b/>
                <w:snapToGrid w:val="0"/>
                <w:sz w:val="21"/>
                <w:szCs w:val="21"/>
              </w:rPr>
              <w:t>备注</w:t>
            </w:r>
          </w:p>
        </w:tc>
      </w:tr>
      <w:tr w14:paraId="6A719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076" w:type="pct"/>
            <w:vAlign w:val="center"/>
          </w:tcPr>
          <w:p w14:paraId="39D417DA">
            <w:pPr>
              <w:adjustRightInd w:val="0"/>
              <w:snapToGrid w:val="0"/>
              <w:spacing w:line="240" w:lineRule="auto"/>
              <w:ind w:firstLine="0" w:firstLineChars="0"/>
              <w:rPr>
                <w:rFonts w:hint="eastAsia" w:ascii="宋体" w:hAnsi="宋体" w:eastAsia="宋体" w:cs="宋体"/>
                <w:snapToGrid w:val="0"/>
                <w:sz w:val="21"/>
                <w:szCs w:val="21"/>
                <w:lang w:val="en-US" w:eastAsia="zh-CN"/>
              </w:rPr>
            </w:pPr>
            <w:r>
              <w:rPr>
                <w:rFonts w:hint="eastAsia" w:ascii="宋体" w:hAnsi="宋体" w:cs="宋体"/>
                <w:bCs/>
                <w:snapToGrid w:val="0"/>
                <w:sz w:val="21"/>
                <w:szCs w:val="21"/>
              </w:rPr>
              <w:t>重庆三峡银行轨道交通1、3号线站台车到提醒冠名广告</w:t>
            </w:r>
            <w:r>
              <w:rPr>
                <w:rFonts w:hint="eastAsia" w:ascii="宋体" w:hAnsi="宋体" w:cs="宋体"/>
                <w:bCs/>
                <w:snapToGrid w:val="0"/>
                <w:sz w:val="21"/>
                <w:szCs w:val="21"/>
                <w:lang w:val="en-US" w:eastAsia="zh-CN"/>
              </w:rPr>
              <w:t>项目</w:t>
            </w:r>
          </w:p>
        </w:tc>
        <w:tc>
          <w:tcPr>
            <w:tcW w:w="1663" w:type="pct"/>
            <w:vAlign w:val="center"/>
          </w:tcPr>
          <w:p w14:paraId="2DD4A09E">
            <w:pPr>
              <w:adjustRightInd w:val="0"/>
              <w:snapToGrid w:val="0"/>
              <w:spacing w:line="240" w:lineRule="auto"/>
              <w:ind w:firstLine="0" w:firstLineChars="0"/>
              <w:rPr>
                <w:rFonts w:ascii="宋体" w:hAnsi="宋体" w:cs="宋体"/>
                <w:bCs/>
                <w:snapToGrid w:val="0"/>
                <w:sz w:val="21"/>
                <w:szCs w:val="21"/>
              </w:rPr>
            </w:pPr>
            <w:r>
              <w:rPr>
                <w:rFonts w:hint="eastAsia" w:ascii="宋体" w:hAnsi="宋体" w:cs="宋体"/>
                <w:bCs/>
                <w:snapToGrid w:val="0"/>
                <w:sz w:val="21"/>
                <w:szCs w:val="21"/>
              </w:rPr>
              <w:t>覆盖轨道1、3号线</w:t>
            </w:r>
            <w:r>
              <w:rPr>
                <w:rFonts w:ascii="宋体" w:hAnsi="宋体" w:cs="宋体"/>
                <w:bCs/>
                <w:snapToGrid w:val="0"/>
                <w:sz w:val="21"/>
                <w:szCs w:val="21"/>
              </w:rPr>
              <w:t>计69个站，每天16小时滚动播出，128次以上/天，视频15秒，语音文字60-70个字</w:t>
            </w:r>
          </w:p>
        </w:tc>
        <w:tc>
          <w:tcPr>
            <w:tcW w:w="598" w:type="pct"/>
            <w:vAlign w:val="center"/>
          </w:tcPr>
          <w:p w14:paraId="68CACD09">
            <w:pPr>
              <w:adjustRightInd w:val="0"/>
              <w:snapToGrid w:val="0"/>
              <w:spacing w:line="240" w:lineRule="auto"/>
              <w:ind w:firstLine="0" w:firstLineChars="0"/>
              <w:rPr>
                <w:rFonts w:ascii="宋体" w:hAnsi="宋体" w:cs="宋体"/>
                <w:bCs/>
                <w:snapToGrid w:val="0"/>
                <w:sz w:val="21"/>
                <w:szCs w:val="21"/>
              </w:rPr>
            </w:pPr>
            <w:r>
              <w:rPr>
                <w:rFonts w:ascii="宋体" w:hAnsi="宋体" w:cs="宋体"/>
                <w:bCs/>
                <w:snapToGrid w:val="0"/>
                <w:sz w:val="21"/>
                <w:szCs w:val="21"/>
              </w:rPr>
              <w:t>47</w:t>
            </w:r>
            <w:r>
              <w:rPr>
                <w:rFonts w:hint="eastAsia" w:ascii="宋体" w:hAnsi="宋体" w:cs="宋体"/>
                <w:bCs/>
                <w:snapToGrid w:val="0"/>
                <w:sz w:val="21"/>
                <w:szCs w:val="21"/>
              </w:rPr>
              <w:t>万元</w:t>
            </w:r>
          </w:p>
        </w:tc>
        <w:tc>
          <w:tcPr>
            <w:tcW w:w="520" w:type="pct"/>
            <w:vAlign w:val="center"/>
          </w:tcPr>
          <w:p w14:paraId="7589B5B7">
            <w:pPr>
              <w:adjustRightInd w:val="0"/>
              <w:snapToGrid w:val="0"/>
              <w:spacing w:line="240" w:lineRule="auto"/>
              <w:ind w:firstLine="0" w:firstLineChars="0"/>
              <w:jc w:val="center"/>
              <w:rPr>
                <w:rFonts w:ascii="宋体" w:hAnsi="宋体" w:cs="宋体"/>
                <w:snapToGrid w:val="0"/>
                <w:sz w:val="21"/>
                <w:szCs w:val="21"/>
              </w:rPr>
            </w:pPr>
            <w:r>
              <w:rPr>
                <w:rFonts w:hint="eastAsia" w:ascii="宋体" w:hAnsi="宋体" w:cs="宋体"/>
                <w:snapToGrid w:val="0"/>
                <w:sz w:val="21"/>
                <w:szCs w:val="21"/>
              </w:rPr>
              <w:t>1</w:t>
            </w:r>
          </w:p>
        </w:tc>
        <w:tc>
          <w:tcPr>
            <w:tcW w:w="1141" w:type="pct"/>
            <w:vAlign w:val="center"/>
          </w:tcPr>
          <w:p w14:paraId="266F0AA8">
            <w:pPr>
              <w:adjustRightInd w:val="0"/>
              <w:snapToGrid w:val="0"/>
              <w:spacing w:line="240" w:lineRule="auto"/>
              <w:ind w:firstLine="0" w:firstLineChars="0"/>
              <w:jc w:val="center"/>
              <w:rPr>
                <w:rFonts w:ascii="宋体" w:hAnsi="宋体" w:cs="宋体"/>
                <w:snapToGrid w:val="0"/>
                <w:sz w:val="21"/>
                <w:szCs w:val="21"/>
              </w:rPr>
            </w:pPr>
            <w:r>
              <w:rPr>
                <w:rFonts w:hint="eastAsia" w:ascii="宋体" w:hAnsi="宋体" w:cs="宋体"/>
                <w:snapToGrid w:val="0"/>
                <w:sz w:val="21"/>
                <w:szCs w:val="21"/>
              </w:rPr>
              <w:t>投放时间为 2024年12月至2025年1月，</w:t>
            </w:r>
          </w:p>
          <w:p w14:paraId="1B58CBB6">
            <w:pPr>
              <w:adjustRightInd w:val="0"/>
              <w:snapToGrid w:val="0"/>
              <w:spacing w:line="240" w:lineRule="auto"/>
              <w:ind w:firstLine="0" w:firstLineChars="0"/>
              <w:jc w:val="center"/>
              <w:rPr>
                <w:rFonts w:ascii="宋体" w:hAnsi="宋体" w:cs="宋体"/>
                <w:snapToGrid w:val="0"/>
                <w:sz w:val="21"/>
                <w:szCs w:val="21"/>
              </w:rPr>
            </w:pPr>
            <w:r>
              <w:rPr>
                <w:rFonts w:hint="eastAsia" w:ascii="宋体" w:hAnsi="宋体" w:cs="宋体"/>
                <w:snapToGrid w:val="0"/>
                <w:sz w:val="21"/>
                <w:szCs w:val="21"/>
              </w:rPr>
              <w:t>共计</w:t>
            </w:r>
            <w:r>
              <w:rPr>
                <w:rFonts w:ascii="宋体" w:hAnsi="宋体" w:cs="宋体"/>
                <w:snapToGrid w:val="0"/>
                <w:sz w:val="21"/>
                <w:szCs w:val="21"/>
              </w:rPr>
              <w:t>2</w:t>
            </w:r>
            <w:r>
              <w:rPr>
                <w:rFonts w:hint="eastAsia" w:ascii="宋体" w:hAnsi="宋体" w:cs="宋体"/>
                <w:snapToGrid w:val="0"/>
                <w:sz w:val="21"/>
                <w:szCs w:val="21"/>
              </w:rPr>
              <w:t>个月</w:t>
            </w:r>
          </w:p>
        </w:tc>
      </w:tr>
    </w:tbl>
    <w:p w14:paraId="4E509331">
      <w:pPr>
        <w:ind w:firstLine="420"/>
        <w:rPr>
          <w:rFonts w:hint="eastAsia"/>
          <w:sz w:val="21"/>
          <w:szCs w:val="16"/>
        </w:rPr>
      </w:pPr>
      <w:bookmarkStart w:id="9" w:name="_Toc89675128"/>
      <w:bookmarkStart w:id="10" w:name="_Toc55379219"/>
      <w:bookmarkStart w:id="11" w:name="_Toc297817088"/>
      <w:bookmarkStart w:id="12" w:name="_Toc469574664"/>
      <w:bookmarkStart w:id="13" w:name="_Toc288224935"/>
      <w:r>
        <w:rPr>
          <w:rFonts w:hint="eastAsia"/>
          <w:sz w:val="21"/>
          <w:szCs w:val="16"/>
        </w:rPr>
        <w:t>注：广告媒体信息详见比选文件第三章。</w:t>
      </w:r>
    </w:p>
    <w:p w14:paraId="214A3297">
      <w:pPr>
        <w:pStyle w:val="3"/>
      </w:pPr>
      <w:r>
        <w:rPr>
          <w:rFonts w:hint="eastAsia"/>
        </w:rPr>
        <w:t>2. 参选人资格要求</w:t>
      </w:r>
      <w:bookmarkEnd w:id="9"/>
      <w:bookmarkEnd w:id="10"/>
      <w:bookmarkEnd w:id="11"/>
      <w:bookmarkEnd w:id="12"/>
      <w:bookmarkEnd w:id="13"/>
    </w:p>
    <w:p w14:paraId="2CD4A41F">
      <w:pPr>
        <w:ind w:firstLine="480"/>
        <w:rPr>
          <w:rFonts w:hint="eastAsia"/>
        </w:rPr>
      </w:pPr>
      <w:bookmarkStart w:id="14" w:name="_Hlk55488870"/>
      <w:r>
        <w:rPr>
          <w:rFonts w:hint="eastAsia"/>
        </w:rPr>
        <w:t>2.1 具有独立承担民事责任的能力</w:t>
      </w:r>
    </w:p>
    <w:p w14:paraId="66280442">
      <w:pPr>
        <w:ind w:firstLine="480"/>
        <w:rPr>
          <w:rFonts w:hint="eastAsia"/>
        </w:rPr>
      </w:pPr>
      <w:r>
        <w:rPr>
          <w:rFonts w:hint="eastAsia"/>
        </w:rPr>
        <w:t>【提供参选人有效营业执照（副本）或事业单位法人证书（副本）或个体工商户营业执照或有效的自然人身份证明；参选人法定代表人身份证明和法定代表人授权委托书。】</w:t>
      </w:r>
    </w:p>
    <w:p w14:paraId="57667192">
      <w:pPr>
        <w:ind w:firstLine="480"/>
        <w:rPr>
          <w:rFonts w:hint="eastAsia"/>
        </w:rPr>
      </w:pPr>
      <w:r>
        <w:rPr>
          <w:rFonts w:hint="eastAsia"/>
        </w:rPr>
        <w:t>注：若为法定代表人办理并签署参选文件的，不提供授权委托书。</w:t>
      </w:r>
    </w:p>
    <w:p w14:paraId="5DD0DD6D">
      <w:pPr>
        <w:ind w:firstLine="480"/>
        <w:rPr>
          <w:rFonts w:hint="eastAsia"/>
        </w:rPr>
      </w:pPr>
      <w:r>
        <w:rPr>
          <w:rFonts w:hint="eastAsia"/>
        </w:rPr>
        <w:t>2.2 具有良好的商业信誉和健全的财务会计制度【提供书面声明】；</w:t>
      </w:r>
    </w:p>
    <w:p w14:paraId="418437E5">
      <w:pPr>
        <w:ind w:firstLine="480"/>
        <w:rPr>
          <w:rFonts w:hint="eastAsia"/>
        </w:rPr>
      </w:pPr>
      <w:r>
        <w:rPr>
          <w:rFonts w:hint="eastAsia"/>
        </w:rPr>
        <w:t>2.3 具有履行合同所必需的设备和专业技术能力【提供书面声明】；</w:t>
      </w:r>
    </w:p>
    <w:p w14:paraId="19189221">
      <w:pPr>
        <w:ind w:firstLine="480"/>
        <w:rPr>
          <w:rFonts w:hint="eastAsia"/>
        </w:rPr>
      </w:pPr>
      <w:r>
        <w:rPr>
          <w:rFonts w:hint="eastAsia"/>
        </w:rPr>
        <w:t>2.4 有依法缴纳税收和社会保障金的良好记录【提供书面声明】；</w:t>
      </w:r>
    </w:p>
    <w:p w14:paraId="46A14372">
      <w:pPr>
        <w:ind w:firstLine="480"/>
        <w:rPr>
          <w:rFonts w:hint="eastAsia"/>
        </w:rPr>
      </w:pPr>
      <w:r>
        <w:rPr>
          <w:rFonts w:hint="eastAsia"/>
        </w:rPr>
        <w:t>2.5 三年内在经营活动中没有重大违法记录【提供书面声明】；</w:t>
      </w:r>
    </w:p>
    <w:p w14:paraId="1C9B4350">
      <w:pPr>
        <w:ind w:firstLine="480"/>
        <w:rPr>
          <w:rFonts w:hint="eastAsia"/>
        </w:rPr>
      </w:pPr>
      <w:r>
        <w:rPr>
          <w:rFonts w:hint="eastAsia"/>
        </w:rPr>
        <w:t>2.6 法人及法定代表人没有被人民法院列为失信被执行人名单【提供中国执行信息公开网截图并加盖单位鲜章】；</w:t>
      </w:r>
    </w:p>
    <w:p w14:paraId="091DFBC7">
      <w:pPr>
        <w:ind w:firstLine="480"/>
        <w:rPr>
          <w:rFonts w:hint="eastAsia"/>
        </w:rPr>
      </w:pPr>
      <w:r>
        <w:rPr>
          <w:rFonts w:hint="eastAsia"/>
        </w:rPr>
        <w:t>2.7 本项目不允许任何形式的转包【提供书面声明】。</w:t>
      </w:r>
    </w:p>
    <w:p w14:paraId="1DBA7D77">
      <w:pPr>
        <w:ind w:firstLine="480"/>
        <w:rPr>
          <w:rFonts w:hint="eastAsia"/>
        </w:rPr>
      </w:pPr>
      <w:r>
        <w:rPr>
          <w:rFonts w:hint="eastAsia"/>
        </w:rPr>
        <w:t>2.8 本次</w:t>
      </w:r>
      <w:r>
        <w:rPr>
          <w:rFonts w:hint="eastAsia"/>
          <w:lang w:val="en-US" w:eastAsia="zh-CN"/>
        </w:rPr>
        <w:t>比选</w:t>
      </w:r>
      <w:r>
        <w:rPr>
          <w:rFonts w:hint="eastAsia"/>
        </w:rPr>
        <w:t>不接受联合体参选。</w:t>
      </w:r>
    </w:p>
    <w:p w14:paraId="2F6F0A1B">
      <w:pPr>
        <w:ind w:firstLine="480"/>
        <w:rPr>
          <w:rFonts w:hint="eastAsia"/>
        </w:rPr>
      </w:pPr>
      <w:r>
        <w:rPr>
          <w:rFonts w:hint="eastAsia"/>
        </w:rPr>
        <w:t>2.9 参选人必须是在中华人民共和国境内注册的具有独立法人资格的广告公司，具有本次比选内容的广告经营权【提供由媒体所有权单位出具的广告牌经营权证明】；</w:t>
      </w:r>
    </w:p>
    <w:p w14:paraId="1A54A63F">
      <w:pPr>
        <w:ind w:firstLine="480"/>
        <w:rPr>
          <w:rFonts w:hint="eastAsia"/>
        </w:rPr>
      </w:pPr>
      <w:r>
        <w:rPr>
          <w:rFonts w:hint="eastAsia"/>
        </w:rPr>
        <w:t>2.10 参选人须具有良好的业绩，稳定的员工队伍，在广告服务方面享有良好的信誉【提供书面声明】；</w:t>
      </w:r>
    </w:p>
    <w:p w14:paraId="514925C1">
      <w:pPr>
        <w:ind w:firstLine="480"/>
        <w:rPr>
          <w:rFonts w:hint="eastAsia"/>
        </w:rPr>
      </w:pPr>
      <w:r>
        <w:rPr>
          <w:rFonts w:hint="eastAsia"/>
        </w:rPr>
        <w:t>注:以上证明文件若比选人存疑，参选人需提供原件备查，参选文件中须附相关证明文件复印件并逐页加盖公章。</w:t>
      </w:r>
    </w:p>
    <w:p w14:paraId="66735EAD">
      <w:pPr>
        <w:ind w:firstLine="480"/>
        <w:rPr>
          <w:rFonts w:hint="eastAsia"/>
        </w:rPr>
      </w:pPr>
      <w:r>
        <w:rPr>
          <w:rFonts w:hint="eastAsia"/>
        </w:rPr>
        <w:t>本次</w:t>
      </w:r>
      <w:r>
        <w:t>比选</w:t>
      </w:r>
      <w:r>
        <w:rPr>
          <w:rFonts w:hint="eastAsia"/>
        </w:rPr>
        <w:t>不接受曾因参选人的违约行为与比选人发生过纠纷的参选人；</w:t>
      </w:r>
      <w:r>
        <w:t>不接受</w:t>
      </w:r>
      <w:r>
        <w:rPr>
          <w:rFonts w:hint="eastAsia"/>
        </w:rPr>
        <w:t>与比选人合作过程中不遵守比选文件及合同约定的</w:t>
      </w:r>
      <w:r>
        <w:t>参选人</w:t>
      </w:r>
      <w:r>
        <w:rPr>
          <w:rFonts w:hint="eastAsia"/>
        </w:rPr>
        <w:t>；</w:t>
      </w:r>
      <w:r>
        <w:t>不接受</w:t>
      </w:r>
      <w:r>
        <w:rPr>
          <w:rFonts w:hint="eastAsia"/>
        </w:rPr>
        <w:t>曾在</w:t>
      </w:r>
      <w:r>
        <w:t>比选人</w:t>
      </w:r>
      <w:r>
        <w:rPr>
          <w:rFonts w:hint="eastAsia"/>
        </w:rPr>
        <w:t>项目</w:t>
      </w:r>
      <w:r>
        <w:t>中存在</w:t>
      </w:r>
      <w:r>
        <w:rPr>
          <w:rFonts w:hint="eastAsia"/>
        </w:rPr>
        <w:t>弄虚作假行为的</w:t>
      </w:r>
      <w:r>
        <w:t>参选人。若</w:t>
      </w:r>
      <w:r>
        <w:rPr>
          <w:rFonts w:hint="eastAsia"/>
        </w:rPr>
        <w:t>参选人</w:t>
      </w:r>
      <w:r>
        <w:t>存在上述情况，比选人</w:t>
      </w:r>
      <w:r>
        <w:rPr>
          <w:rFonts w:hint="eastAsia"/>
        </w:rPr>
        <w:t>将</w:t>
      </w:r>
      <w:r>
        <w:t>有权</w:t>
      </w:r>
      <w:r>
        <w:rPr>
          <w:rFonts w:hint="eastAsia"/>
        </w:rPr>
        <w:t>随时</w:t>
      </w:r>
      <w:r>
        <w:t>取消其参选资格或</w:t>
      </w:r>
      <w:r>
        <w:rPr>
          <w:rFonts w:hint="eastAsia"/>
        </w:rPr>
        <w:t>中选</w:t>
      </w:r>
      <w:r>
        <w:t>资格（</w:t>
      </w:r>
      <w:r>
        <w:rPr>
          <w:rFonts w:hint="eastAsia"/>
        </w:rPr>
        <w:t>若</w:t>
      </w:r>
      <w:r>
        <w:t>签署合同后发现的则有权解除合同）</w:t>
      </w:r>
      <w:r>
        <w:rPr>
          <w:rFonts w:hint="eastAsia"/>
        </w:rPr>
        <w:t>，没收</w:t>
      </w:r>
      <w:r>
        <w:t>其</w:t>
      </w:r>
      <w:r>
        <w:rPr>
          <w:rFonts w:hint="eastAsia"/>
        </w:rPr>
        <w:t>参选</w:t>
      </w:r>
      <w:r>
        <w:t>保证金，并追究其相应的法律责任。</w:t>
      </w:r>
    </w:p>
    <w:bookmarkEnd w:id="14"/>
    <w:p w14:paraId="0105613A">
      <w:pPr>
        <w:pStyle w:val="3"/>
      </w:pPr>
      <w:bookmarkStart w:id="15" w:name="_Toc55379220"/>
      <w:bookmarkStart w:id="16" w:name="_Toc297817090"/>
      <w:bookmarkStart w:id="17" w:name="_Toc469574667"/>
      <w:bookmarkStart w:id="18" w:name="_Toc89675130"/>
      <w:r>
        <w:rPr>
          <w:rFonts w:hint="eastAsia"/>
        </w:rPr>
        <w:t>3. 比选文件的获取</w:t>
      </w:r>
      <w:bookmarkEnd w:id="15"/>
    </w:p>
    <w:p w14:paraId="7D6C8E6B">
      <w:pPr>
        <w:ind w:firstLine="480"/>
        <w:rPr>
          <w:rFonts w:hint="eastAsia"/>
        </w:rPr>
      </w:pPr>
      <w:bookmarkStart w:id="19" w:name="_Toc55379221"/>
      <w:r>
        <w:rPr>
          <w:rFonts w:hint="eastAsia"/>
        </w:rPr>
        <w:t>3.1 参选截止时间：</w:t>
      </w:r>
      <w:r>
        <w:rPr>
          <w:rFonts w:hint="eastAsia"/>
          <w:u w:val="single"/>
        </w:rPr>
        <w:t>2024</w:t>
      </w:r>
      <w:r>
        <w:rPr>
          <w:rFonts w:hint="eastAsia"/>
        </w:rPr>
        <w:t>年</w:t>
      </w:r>
      <w:r>
        <w:rPr>
          <w:rFonts w:hint="eastAsia"/>
          <w:u w:val="single"/>
          <w:lang w:val="en-US" w:eastAsia="zh-CN"/>
        </w:rPr>
        <w:t>11</w:t>
      </w:r>
      <w:r>
        <w:rPr>
          <w:rFonts w:hint="eastAsia"/>
        </w:rPr>
        <w:t>月</w:t>
      </w:r>
      <w:r>
        <w:rPr>
          <w:rFonts w:hint="eastAsia"/>
          <w:u w:val="single"/>
          <w:lang w:val="en-US" w:eastAsia="zh-CN"/>
        </w:rPr>
        <w:t>25</w:t>
      </w:r>
      <w:r>
        <w:rPr>
          <w:rFonts w:hint="eastAsia"/>
        </w:rPr>
        <w:t>日</w:t>
      </w:r>
      <w:r>
        <w:rPr>
          <w:rFonts w:hint="eastAsia"/>
          <w:u w:val="single"/>
          <w:lang w:val="en-US" w:eastAsia="zh-CN"/>
        </w:rPr>
        <w:t>9</w:t>
      </w:r>
      <w:r>
        <w:rPr>
          <w:rFonts w:hint="eastAsia"/>
        </w:rPr>
        <w:t>时</w:t>
      </w:r>
      <w:r>
        <w:rPr>
          <w:rFonts w:hint="eastAsia"/>
          <w:u w:val="single"/>
          <w:lang w:val="en-US" w:eastAsia="zh-CN"/>
        </w:rPr>
        <w:t>30</w:t>
      </w:r>
      <w:r>
        <w:rPr>
          <w:rFonts w:hint="eastAsia"/>
        </w:rPr>
        <w:t>分（北京时间）</w:t>
      </w:r>
    </w:p>
    <w:p w14:paraId="4108D88C">
      <w:pPr>
        <w:ind w:firstLine="480"/>
        <w:rPr>
          <w:rFonts w:hint="eastAsia"/>
        </w:rPr>
      </w:pPr>
      <w:r>
        <w:rPr>
          <w:rFonts w:hint="eastAsia"/>
        </w:rPr>
        <w:t>3.2 获取时间和方式：从</w:t>
      </w:r>
      <w:r>
        <w:rPr>
          <w:rFonts w:hint="eastAsia"/>
          <w:u w:val="single"/>
        </w:rPr>
        <w:t>2024</w:t>
      </w:r>
      <w:r>
        <w:rPr>
          <w:rFonts w:hint="eastAsia"/>
        </w:rPr>
        <w:t>年</w:t>
      </w:r>
      <w:r>
        <w:rPr>
          <w:rFonts w:hint="eastAsia"/>
          <w:u w:val="single"/>
          <w:lang w:val="en-US" w:eastAsia="zh-CN"/>
        </w:rPr>
        <w:t>11</w:t>
      </w:r>
      <w:r>
        <w:rPr>
          <w:rFonts w:hint="eastAsia"/>
        </w:rPr>
        <w:t>月</w:t>
      </w:r>
      <w:r>
        <w:rPr>
          <w:rFonts w:hint="eastAsia"/>
          <w:u w:val="single"/>
          <w:lang w:val="en-US" w:eastAsia="zh-CN"/>
        </w:rPr>
        <w:t>8</w:t>
      </w:r>
      <w:r>
        <w:rPr>
          <w:rFonts w:hint="eastAsia"/>
        </w:rPr>
        <w:t>日到</w:t>
      </w:r>
      <w:r>
        <w:rPr>
          <w:rFonts w:hint="eastAsia"/>
          <w:u w:val="none"/>
        </w:rPr>
        <w:t>参选截止时间</w:t>
      </w:r>
      <w:r>
        <w:rPr>
          <w:rFonts w:hint="eastAsia"/>
        </w:rPr>
        <w:t>，在重庆市公共资源交易网（www.cqggzy.com）下载比选文件。</w:t>
      </w:r>
    </w:p>
    <w:p w14:paraId="4F1544D7">
      <w:pPr>
        <w:ind w:firstLine="480"/>
        <w:rPr>
          <w:rFonts w:hint="eastAsia"/>
        </w:rPr>
      </w:pPr>
      <w:r>
        <w:rPr>
          <w:rFonts w:hint="eastAsia"/>
        </w:rPr>
        <w:t>3.3 参选人在下载比选文件后，应仔细检查比选文件的所有内容，如有残缺或文字表述不清，以及存在错、碰、漏、缺、概念模糊和有可能出现歧义或理解上的偏差的内容等应在</w:t>
      </w:r>
      <w:r>
        <w:rPr>
          <w:rFonts w:hint="eastAsia"/>
          <w:u w:val="single"/>
        </w:rPr>
        <w:t>2024</w:t>
      </w:r>
      <w:r>
        <w:rPr>
          <w:rFonts w:hint="eastAsia"/>
        </w:rPr>
        <w:t>年</w:t>
      </w:r>
      <w:r>
        <w:rPr>
          <w:rFonts w:hint="eastAsia"/>
          <w:u w:val="single"/>
          <w:lang w:val="en-US" w:eastAsia="zh-CN"/>
        </w:rPr>
        <w:t>11</w:t>
      </w:r>
      <w:r>
        <w:rPr>
          <w:rFonts w:hint="eastAsia"/>
        </w:rPr>
        <w:t>月</w:t>
      </w:r>
      <w:r>
        <w:rPr>
          <w:rFonts w:hint="eastAsia"/>
          <w:u w:val="single"/>
          <w:lang w:val="en-US" w:eastAsia="zh-CN"/>
        </w:rPr>
        <w:t>11</w:t>
      </w:r>
      <w:r>
        <w:rPr>
          <w:rFonts w:hint="eastAsia"/>
        </w:rPr>
        <w:t>日17时00分（北京时间）前自行在重庆市公共资源交易网（http://www.cqggzy.com/）比选公告的“我要提问”栏目匿名提出。参选人未提出，则视为参选人已全面确认比选文件内容。</w:t>
      </w:r>
    </w:p>
    <w:p w14:paraId="38422C17">
      <w:pPr>
        <w:ind w:firstLine="480"/>
        <w:rPr>
          <w:rFonts w:hint="eastAsia"/>
        </w:rPr>
      </w:pPr>
      <w:r>
        <w:rPr>
          <w:rFonts w:hint="eastAsia"/>
        </w:rPr>
        <w:t>3.4 比选人在认为有必要对参选人所提问题进行答复或对比选文件进行补充时，将在《重庆市公共资源交易网（www.cqggzy.com）》“答疑补遗”栏上发布答疑补遗文件。不论参选人下载与否，都视为参选人收到有关本项目在《重庆市公共资源交易网（www.cqggzy.com）》上发布的所有资料并全部知晓有关比选过程和事宜，由此产生的一切后果由参选人自负。</w:t>
      </w:r>
    </w:p>
    <w:p w14:paraId="3DA29FF0">
      <w:pPr>
        <w:pStyle w:val="3"/>
      </w:pPr>
      <w:r>
        <w:rPr>
          <w:rFonts w:hint="eastAsia"/>
        </w:rPr>
        <w:t>4. 参选保证金的递交</w:t>
      </w:r>
      <w:bookmarkEnd w:id="16"/>
      <w:bookmarkEnd w:id="17"/>
      <w:bookmarkEnd w:id="18"/>
      <w:bookmarkEnd w:id="19"/>
    </w:p>
    <w:p w14:paraId="21F76E87">
      <w:pPr>
        <w:ind w:firstLine="480"/>
        <w:rPr>
          <w:rFonts w:hint="eastAsia"/>
        </w:rPr>
      </w:pPr>
      <w:bookmarkStart w:id="20" w:name="_Toc297817091"/>
      <w:bookmarkStart w:id="21" w:name="_Toc89675131"/>
      <w:bookmarkStart w:id="22" w:name="_Toc55379222"/>
      <w:bookmarkStart w:id="23" w:name="_Toc469574668"/>
      <w:r>
        <w:rPr>
          <w:rFonts w:hint="eastAsia"/>
        </w:rPr>
        <w:t>4.1 参选保证金的金额：</w:t>
      </w:r>
      <w:r>
        <w:rPr>
          <w:rFonts w:hint="eastAsia"/>
          <w:b/>
          <w:bCs/>
          <w:u w:val="single"/>
        </w:rPr>
        <w:t xml:space="preserve">  ￥</w:t>
      </w:r>
      <w:r>
        <w:rPr>
          <w:b/>
          <w:bCs/>
          <w:u w:val="single"/>
        </w:rPr>
        <w:t>10000.00</w:t>
      </w:r>
      <w:r>
        <w:rPr>
          <w:rFonts w:hint="eastAsia"/>
          <w:b/>
          <w:bCs/>
          <w:u w:val="single"/>
        </w:rPr>
        <w:t xml:space="preserve">  </w:t>
      </w:r>
      <w:r>
        <w:rPr>
          <w:rFonts w:hint="eastAsia"/>
          <w:b/>
          <w:bCs/>
        </w:rPr>
        <w:t>元整（大写：</w:t>
      </w:r>
      <w:r>
        <w:rPr>
          <w:rFonts w:hint="eastAsia"/>
          <w:b/>
          <w:bCs/>
          <w:u w:val="single"/>
        </w:rPr>
        <w:t xml:space="preserve">人民币壹万元整 </w:t>
      </w:r>
      <w:r>
        <w:rPr>
          <w:rFonts w:hint="eastAsia"/>
          <w:b/>
          <w:bCs/>
        </w:rPr>
        <w:t>）</w:t>
      </w:r>
      <w:r>
        <w:rPr>
          <w:rFonts w:hint="eastAsia"/>
        </w:rPr>
        <w:t>。</w:t>
      </w:r>
    </w:p>
    <w:p w14:paraId="49A5A008">
      <w:pPr>
        <w:ind w:firstLine="480"/>
        <w:rPr>
          <w:rFonts w:hint="eastAsia"/>
        </w:rPr>
      </w:pPr>
      <w:r>
        <w:rPr>
          <w:rFonts w:hint="eastAsia"/>
        </w:rPr>
        <w:t>4.2 参选保证金缴纳方式：参选人从参选人的银行账户，通过转账或电汇方式直接划付至</w:t>
      </w:r>
      <w:r>
        <w:rPr>
          <w:rFonts w:hint="eastAsia"/>
          <w:b/>
          <w:bCs/>
        </w:rPr>
        <w:t>对应标段公告下方指定的账户</w:t>
      </w:r>
      <w:r>
        <w:rPr>
          <w:rFonts w:hint="eastAsia"/>
        </w:rPr>
        <w:t>（任选其一），否则，参选保证金无效。参选人自行考虑汇入到账时间风险，本项目参选保证金不接受任何形式保函（包括电子保函）；</w:t>
      </w:r>
    </w:p>
    <w:p w14:paraId="7F3FD7C1">
      <w:pPr>
        <w:ind w:firstLine="482"/>
        <w:rPr>
          <w:rFonts w:hint="eastAsia"/>
        </w:rPr>
      </w:pPr>
      <w:r>
        <w:rPr>
          <w:rFonts w:hint="eastAsia"/>
          <w:b/>
          <w:bCs/>
        </w:rPr>
        <w:t>参选人必须在付款凭证备注栏中注明项目简称。可简写成：</w:t>
      </w:r>
      <w:r>
        <w:rPr>
          <w:rFonts w:hint="eastAsia"/>
          <w:b/>
          <w:bCs/>
          <w:u w:val="single"/>
        </w:rPr>
        <w:t xml:space="preserve"> 轨道站台冠名广告  </w:t>
      </w:r>
      <w:r>
        <w:rPr>
          <w:rFonts w:hint="eastAsia"/>
          <w:b/>
          <w:bCs/>
        </w:rPr>
        <w:t>项目。</w:t>
      </w:r>
    </w:p>
    <w:p w14:paraId="1071E464">
      <w:pPr>
        <w:ind w:firstLine="480"/>
        <w:rPr>
          <w:rFonts w:hint="eastAsia"/>
        </w:rPr>
      </w:pPr>
      <w:r>
        <w:rPr>
          <w:rFonts w:hint="eastAsia"/>
        </w:rPr>
        <w:t>4.3 参选保证金递交的截止时间为</w:t>
      </w:r>
      <w:r>
        <w:rPr>
          <w:rFonts w:hint="eastAsia"/>
          <w:u w:val="single"/>
        </w:rPr>
        <w:t>2024</w:t>
      </w:r>
      <w:r>
        <w:rPr>
          <w:rFonts w:hint="eastAsia"/>
        </w:rPr>
        <w:t>年</w:t>
      </w:r>
      <w:r>
        <w:rPr>
          <w:rFonts w:hint="eastAsia"/>
          <w:u w:val="single"/>
          <w:lang w:val="en-US" w:eastAsia="zh-CN"/>
        </w:rPr>
        <w:t>11</w:t>
      </w:r>
      <w:r>
        <w:rPr>
          <w:rFonts w:hint="eastAsia"/>
        </w:rPr>
        <w:t>月</w:t>
      </w:r>
      <w:r>
        <w:rPr>
          <w:rFonts w:hint="eastAsia"/>
          <w:u w:val="single"/>
          <w:lang w:val="en-US" w:eastAsia="zh-CN"/>
        </w:rPr>
        <w:t>25</w:t>
      </w:r>
      <w:r>
        <w:rPr>
          <w:rFonts w:hint="eastAsia"/>
        </w:rPr>
        <w:t>日</w:t>
      </w:r>
      <w:r>
        <w:rPr>
          <w:rFonts w:hint="eastAsia"/>
          <w:u w:val="single"/>
          <w:lang w:val="en-US" w:eastAsia="zh-CN"/>
        </w:rPr>
        <w:t>9</w:t>
      </w:r>
      <w:r>
        <w:rPr>
          <w:rFonts w:hint="eastAsia"/>
        </w:rPr>
        <w:t>时</w:t>
      </w:r>
      <w:r>
        <w:rPr>
          <w:rFonts w:hint="eastAsia"/>
          <w:u w:val="single"/>
          <w:lang w:val="en-US" w:eastAsia="zh-CN"/>
        </w:rPr>
        <w:t>30</w:t>
      </w:r>
      <w:r>
        <w:rPr>
          <w:rFonts w:hint="eastAsia"/>
        </w:rPr>
        <w:t>分（北京时间）。</w:t>
      </w:r>
    </w:p>
    <w:p w14:paraId="3DF1E669">
      <w:pPr>
        <w:ind w:firstLine="480"/>
        <w:rPr>
          <w:rFonts w:hint="eastAsia"/>
        </w:rPr>
      </w:pPr>
      <w:r>
        <w:rPr>
          <w:rFonts w:hint="eastAsia"/>
        </w:rPr>
        <w:t>4.</w:t>
      </w:r>
      <w:r>
        <w:t>4</w:t>
      </w:r>
      <w:r>
        <w:rPr>
          <w:rFonts w:hint="eastAsia"/>
        </w:rPr>
        <w:t xml:space="preserve"> 参选保证金专用账户如下：</w:t>
      </w:r>
    </w:p>
    <w:p w14:paraId="5D3F7DE7">
      <w:pPr>
        <w:ind w:firstLine="480"/>
        <w:rPr>
          <w:rFonts w:hint="eastAsia"/>
        </w:rPr>
      </w:pPr>
      <w:r>
        <w:rPr>
          <w:rFonts w:hint="eastAsia"/>
        </w:rPr>
        <w:t>详见重庆市公共资源交易网（www.cqggzy.com）对应本项目比选公告信息栏中的保证金信息。根据重庆市公共资源交易中心《关于开展公共资源交易市场主体信息登记工作的公告》的要求，参选人在参选前需在重庆市公共资源交易网（www.cqggzy.com）办理市场主体信息登记手续。</w:t>
      </w:r>
    </w:p>
    <w:p w14:paraId="21AA2DED">
      <w:pPr>
        <w:ind w:firstLine="480"/>
        <w:rPr>
          <w:rFonts w:hint="eastAsia"/>
        </w:rPr>
      </w:pPr>
      <w:r>
        <w:rPr>
          <w:rFonts w:hint="eastAsia"/>
        </w:rPr>
        <w:t>参选保证金以重庆市公共资源交易中心比选现场展示的保证金交纳情况为准。</w:t>
      </w:r>
    </w:p>
    <w:bookmarkEnd w:id="20"/>
    <w:bookmarkEnd w:id="21"/>
    <w:bookmarkEnd w:id="22"/>
    <w:bookmarkEnd w:id="23"/>
    <w:p w14:paraId="6249D82E">
      <w:pPr>
        <w:pStyle w:val="3"/>
      </w:pPr>
      <w:r>
        <w:rPr>
          <w:rFonts w:hint="eastAsia"/>
        </w:rPr>
        <w:t>5. 参选文件的递交</w:t>
      </w:r>
    </w:p>
    <w:p w14:paraId="7BC7894A">
      <w:pPr>
        <w:ind w:firstLine="480"/>
        <w:rPr>
          <w:rFonts w:hint="eastAsia"/>
        </w:rPr>
      </w:pPr>
      <w:bookmarkStart w:id="24" w:name="_Toc89675132"/>
      <w:bookmarkStart w:id="25" w:name="_Toc469574669"/>
      <w:bookmarkStart w:id="26" w:name="_Toc55379223"/>
      <w:r>
        <w:rPr>
          <w:rFonts w:hint="eastAsia"/>
        </w:rPr>
        <w:t>5.1 参选文件现场递交时间为</w:t>
      </w:r>
      <w:r>
        <w:rPr>
          <w:rFonts w:hint="eastAsia"/>
          <w:u w:val="single"/>
        </w:rPr>
        <w:t>2024</w:t>
      </w:r>
      <w:r>
        <w:rPr>
          <w:rFonts w:hint="eastAsia"/>
        </w:rPr>
        <w:t>年</w:t>
      </w:r>
      <w:r>
        <w:rPr>
          <w:rFonts w:hint="eastAsia"/>
          <w:u w:val="single"/>
          <w:lang w:val="en-US" w:eastAsia="zh-CN"/>
        </w:rPr>
        <w:t>11</w:t>
      </w:r>
      <w:r>
        <w:rPr>
          <w:rFonts w:hint="eastAsia"/>
        </w:rPr>
        <w:t>月</w:t>
      </w:r>
      <w:r>
        <w:rPr>
          <w:rFonts w:hint="eastAsia"/>
          <w:u w:val="single"/>
          <w:lang w:val="en-US" w:eastAsia="zh-CN"/>
        </w:rPr>
        <w:t>25</w:t>
      </w:r>
      <w:r>
        <w:rPr>
          <w:rFonts w:hint="eastAsia"/>
        </w:rPr>
        <w:t>日</w:t>
      </w:r>
      <w:r>
        <w:rPr>
          <w:rFonts w:hint="eastAsia"/>
          <w:u w:val="single"/>
          <w:lang w:val="en-US" w:eastAsia="zh-CN"/>
        </w:rPr>
        <w:t>9</w:t>
      </w:r>
      <w:r>
        <w:rPr>
          <w:rFonts w:hint="eastAsia"/>
        </w:rPr>
        <w:t>时</w:t>
      </w:r>
      <w:r>
        <w:rPr>
          <w:rFonts w:hint="eastAsia"/>
          <w:u w:val="single"/>
          <w:lang w:val="en-US" w:eastAsia="zh-CN"/>
        </w:rPr>
        <w:t>00</w:t>
      </w:r>
      <w:r>
        <w:rPr>
          <w:rFonts w:hint="eastAsia"/>
        </w:rPr>
        <w:t>分(北京时间)至参选截止时间。</w:t>
      </w:r>
    </w:p>
    <w:p w14:paraId="334AEFDB">
      <w:pPr>
        <w:ind w:firstLine="480"/>
        <w:rPr>
          <w:rFonts w:hint="eastAsia"/>
        </w:rPr>
      </w:pPr>
      <w:r>
        <w:rPr>
          <w:rFonts w:hint="eastAsia"/>
        </w:rPr>
        <w:t>5.2 递交地点为重庆市渝北区青枫北路6号渝兴广场B10栋重庆市公共资源交易中心开标区（具体请登录重庆市公共资源交易网（www.cqggzy.com）查询或递交文件当日见交易中心大厅电子显示屏）。</w:t>
      </w:r>
    </w:p>
    <w:p w14:paraId="515DBA9B">
      <w:pPr>
        <w:ind w:firstLine="480"/>
        <w:rPr>
          <w:rFonts w:hint="eastAsia"/>
        </w:rPr>
      </w:pPr>
      <w:r>
        <w:rPr>
          <w:rFonts w:hint="eastAsia"/>
        </w:rPr>
        <w:t>5.3 逾期送达的参选文件，不予接收。</w:t>
      </w:r>
    </w:p>
    <w:p w14:paraId="198AB3E1">
      <w:pPr>
        <w:pStyle w:val="3"/>
      </w:pPr>
      <w:r>
        <w:rPr>
          <w:rFonts w:hint="eastAsia"/>
        </w:rPr>
        <w:t>6. 发布公告的媒介</w:t>
      </w:r>
      <w:bookmarkEnd w:id="24"/>
      <w:bookmarkEnd w:id="25"/>
      <w:bookmarkEnd w:id="26"/>
    </w:p>
    <w:p w14:paraId="7D7FEC3D">
      <w:pPr>
        <w:ind w:firstLine="480"/>
        <w:rPr>
          <w:rFonts w:hint="eastAsia"/>
        </w:rPr>
      </w:pPr>
      <w:bookmarkStart w:id="27" w:name="_Toc55379224"/>
      <w:bookmarkStart w:id="28" w:name="_Toc469574670"/>
      <w:bookmarkStart w:id="29" w:name="_Toc89675133"/>
      <w:bookmarkStart w:id="30" w:name="_Toc250565211"/>
      <w:r>
        <w:rPr>
          <w:rFonts w:hint="eastAsia"/>
        </w:rPr>
        <w:t>本次比选公告同时在《重庆市公共资源交易网（www.cqggzy.com）》《重庆三峡银行官网（https://www.ccqtgb.com）》和《中国招标投标公共服务平台（http://www.cebpubservice.com）》上发布。</w:t>
      </w:r>
    </w:p>
    <w:p w14:paraId="09ED828D">
      <w:pPr>
        <w:pStyle w:val="3"/>
        <w:numPr>
          <w:ilvl w:val="0"/>
          <w:numId w:val="0"/>
        </w:numPr>
      </w:pPr>
      <w:r>
        <w:rPr>
          <w:rFonts w:hint="eastAsia" w:cstheme="majorBidi"/>
          <w:b/>
          <w:bCs/>
          <w:snapToGrid w:val="0"/>
          <w:kern w:val="2"/>
          <w:sz w:val="24"/>
          <w:szCs w:val="24"/>
          <w:lang w:val="en-US" w:eastAsia="zh-CN" w:bidi="ar-SA"/>
        </w:rPr>
        <w:t>7</w:t>
      </w:r>
      <w:r>
        <w:rPr>
          <w:rFonts w:ascii="宋体" w:hAnsi="宋体" w:eastAsia="宋体" w:cstheme="majorBidi"/>
          <w:b/>
          <w:bCs/>
          <w:snapToGrid w:val="0"/>
          <w:kern w:val="2"/>
          <w:sz w:val="24"/>
          <w:szCs w:val="24"/>
          <w:lang w:val="en-US" w:eastAsia="zh-CN" w:bidi="ar-SA"/>
        </w:rPr>
        <w:t>.</w:t>
      </w:r>
      <w:r>
        <w:rPr>
          <w:rFonts w:hint="eastAsia" w:cstheme="majorBidi"/>
          <w:b/>
          <w:bCs/>
          <w:snapToGrid w:val="0"/>
          <w:kern w:val="2"/>
          <w:sz w:val="24"/>
          <w:szCs w:val="24"/>
          <w:lang w:val="en-US" w:eastAsia="zh-CN" w:bidi="ar-SA"/>
        </w:rPr>
        <w:t xml:space="preserve"> </w:t>
      </w:r>
      <w:r>
        <w:rPr>
          <w:rFonts w:hint="eastAsia"/>
        </w:rPr>
        <w:t>联系方式</w:t>
      </w:r>
      <w:bookmarkEnd w:id="27"/>
      <w:bookmarkEnd w:id="28"/>
      <w:bookmarkEnd w:id="29"/>
      <w:bookmarkEnd w:id="30"/>
    </w:p>
    <w:tbl>
      <w:tblPr>
        <w:tblStyle w:val="15"/>
        <w:tblW w:w="0" w:type="auto"/>
        <w:tblInd w:w="0" w:type="dxa"/>
        <w:tblLayout w:type="fixed"/>
        <w:tblCellMar>
          <w:top w:w="0" w:type="dxa"/>
          <w:left w:w="108" w:type="dxa"/>
          <w:bottom w:w="0" w:type="dxa"/>
          <w:right w:w="108" w:type="dxa"/>
        </w:tblCellMar>
      </w:tblPr>
      <w:tblGrid>
        <w:gridCol w:w="3524"/>
        <w:gridCol w:w="4899"/>
      </w:tblGrid>
      <w:tr w14:paraId="03E7977A">
        <w:tc>
          <w:tcPr>
            <w:tcW w:w="8423" w:type="dxa"/>
            <w:gridSpan w:val="2"/>
            <w:tcBorders>
              <w:top w:val="single" w:color="auto" w:sz="4" w:space="0"/>
              <w:left w:val="single" w:color="auto" w:sz="4" w:space="0"/>
              <w:bottom w:val="nil"/>
              <w:right w:val="single" w:color="auto" w:sz="4" w:space="0"/>
            </w:tcBorders>
            <w:vAlign w:val="top"/>
          </w:tcPr>
          <w:p w14:paraId="49E4FE40">
            <w:pPr>
              <w:spacing w:line="360" w:lineRule="auto"/>
              <w:ind w:firstLine="0" w:firstLineChars="0"/>
              <w:jc w:val="left"/>
              <w:rPr>
                <w:rFonts w:hint="eastAsia"/>
              </w:rPr>
            </w:pPr>
            <w:r>
              <w:rPr>
                <w:rFonts w:hint="eastAsia"/>
                <w:lang w:val="en-US" w:eastAsia="zh-CN"/>
              </w:rPr>
              <w:t>7</w:t>
            </w:r>
            <w:r>
              <w:rPr>
                <w:rFonts w:hint="eastAsia"/>
              </w:rPr>
              <w:t>.1 项目需求咨询</w:t>
            </w:r>
          </w:p>
        </w:tc>
      </w:tr>
      <w:tr w14:paraId="6D2AD5AB">
        <w:tblPrEx>
          <w:tblCellMar>
            <w:top w:w="0" w:type="dxa"/>
            <w:left w:w="108" w:type="dxa"/>
            <w:bottom w:w="0" w:type="dxa"/>
            <w:right w:w="108" w:type="dxa"/>
          </w:tblCellMar>
        </w:tblPrEx>
        <w:tc>
          <w:tcPr>
            <w:tcW w:w="3524" w:type="dxa"/>
            <w:tcBorders>
              <w:top w:val="nil"/>
              <w:left w:val="single" w:color="auto" w:sz="4" w:space="0"/>
              <w:bottom w:val="nil"/>
              <w:right w:val="nil"/>
            </w:tcBorders>
            <w:vAlign w:val="top"/>
          </w:tcPr>
          <w:p w14:paraId="039D7E5F">
            <w:pPr>
              <w:spacing w:line="360" w:lineRule="auto"/>
              <w:ind w:firstLine="0" w:firstLineChars="0"/>
              <w:jc w:val="left"/>
              <w:rPr>
                <w:rFonts w:hint="eastAsia" w:cs="宋体"/>
                <w:sz w:val="21"/>
                <w:szCs w:val="21"/>
              </w:rPr>
            </w:pPr>
            <w:r>
              <w:rPr>
                <w:rFonts w:hint="eastAsia"/>
              </w:rPr>
              <w:t>项目联系人：吴迪</w:t>
            </w:r>
          </w:p>
        </w:tc>
        <w:tc>
          <w:tcPr>
            <w:tcW w:w="4899" w:type="dxa"/>
            <w:tcBorders>
              <w:top w:val="nil"/>
              <w:left w:val="nil"/>
              <w:bottom w:val="nil"/>
              <w:right w:val="single" w:color="auto" w:sz="4" w:space="0"/>
            </w:tcBorders>
            <w:vAlign w:val="top"/>
          </w:tcPr>
          <w:p w14:paraId="6FF19B45">
            <w:pPr>
              <w:spacing w:line="360" w:lineRule="auto"/>
              <w:ind w:firstLine="0" w:firstLineChars="0"/>
              <w:jc w:val="left"/>
              <w:rPr>
                <w:rFonts w:hint="eastAsia" w:cs="宋体"/>
                <w:sz w:val="21"/>
                <w:szCs w:val="21"/>
              </w:rPr>
            </w:pPr>
            <w:r>
              <w:rPr>
                <w:rFonts w:hint="eastAsia"/>
              </w:rPr>
              <w:t>联系方式：023-88890030</w:t>
            </w:r>
          </w:p>
        </w:tc>
      </w:tr>
      <w:tr w14:paraId="72A7BA38">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vAlign w:val="top"/>
          </w:tcPr>
          <w:p w14:paraId="36589D6A">
            <w:pPr>
              <w:spacing w:line="360" w:lineRule="auto"/>
              <w:ind w:firstLine="0" w:firstLineChars="0"/>
              <w:jc w:val="left"/>
              <w:rPr>
                <w:rFonts w:hint="eastAsia"/>
              </w:rPr>
            </w:pPr>
          </w:p>
        </w:tc>
      </w:tr>
      <w:tr w14:paraId="2BB9F254">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vAlign w:val="top"/>
          </w:tcPr>
          <w:p w14:paraId="3FDB7FE3">
            <w:pPr>
              <w:spacing w:line="360" w:lineRule="auto"/>
              <w:ind w:firstLine="0" w:firstLineChars="0"/>
              <w:jc w:val="left"/>
              <w:rPr>
                <w:rFonts w:hint="eastAsia"/>
              </w:rPr>
            </w:pPr>
            <w:r>
              <w:rPr>
                <w:rFonts w:hint="eastAsia"/>
                <w:lang w:val="en-US" w:eastAsia="zh-CN"/>
              </w:rPr>
              <w:t>7</w:t>
            </w:r>
            <w:r>
              <w:rPr>
                <w:rFonts w:hint="eastAsia"/>
              </w:rPr>
              <w:t>.2 项目流程咨询</w:t>
            </w:r>
          </w:p>
        </w:tc>
      </w:tr>
      <w:tr w14:paraId="194896E7">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vAlign w:val="top"/>
          </w:tcPr>
          <w:p w14:paraId="5C5FC6B6">
            <w:pPr>
              <w:spacing w:line="360" w:lineRule="auto"/>
              <w:ind w:firstLine="0" w:firstLineChars="0"/>
              <w:jc w:val="left"/>
              <w:rPr>
                <w:rFonts w:hint="eastAsia"/>
              </w:rPr>
            </w:pPr>
            <w:r>
              <w:rPr>
                <w:rFonts w:hint="eastAsia"/>
              </w:rPr>
              <w:t>平台服务机构：重庆联合产权交易所集团股份有限公司</w:t>
            </w:r>
          </w:p>
        </w:tc>
      </w:tr>
      <w:tr w14:paraId="50D51038">
        <w:tblPrEx>
          <w:tblCellMar>
            <w:top w:w="0" w:type="dxa"/>
            <w:left w:w="108" w:type="dxa"/>
            <w:bottom w:w="0" w:type="dxa"/>
            <w:right w:w="108" w:type="dxa"/>
          </w:tblCellMar>
        </w:tblPrEx>
        <w:tc>
          <w:tcPr>
            <w:tcW w:w="3524" w:type="dxa"/>
            <w:tcBorders>
              <w:top w:val="nil"/>
              <w:left w:val="single" w:color="auto" w:sz="4" w:space="0"/>
              <w:bottom w:val="nil"/>
              <w:right w:val="nil"/>
            </w:tcBorders>
            <w:vAlign w:val="top"/>
          </w:tcPr>
          <w:p w14:paraId="6F7B7CF2">
            <w:pPr>
              <w:spacing w:line="360" w:lineRule="auto"/>
              <w:ind w:firstLine="0" w:firstLineChars="0"/>
              <w:jc w:val="left"/>
              <w:rPr>
                <w:rFonts w:hint="default" w:eastAsia="宋体" w:cs="宋体"/>
                <w:sz w:val="21"/>
                <w:szCs w:val="21"/>
                <w:lang w:val="en-US" w:eastAsia="zh-CN"/>
              </w:rPr>
            </w:pPr>
            <w:r>
              <w:rPr>
                <w:rFonts w:hint="eastAsia"/>
              </w:rPr>
              <w:t>平台联系人：罗老师</w:t>
            </w:r>
            <w:r>
              <w:rPr>
                <w:rFonts w:hint="eastAsia"/>
                <w:lang w:eastAsia="zh-CN"/>
              </w:rPr>
              <w:t>、</w:t>
            </w:r>
            <w:r>
              <w:rPr>
                <w:rFonts w:hint="eastAsia"/>
                <w:lang w:val="en-US" w:eastAsia="zh-CN"/>
              </w:rPr>
              <w:t>杜老师</w:t>
            </w:r>
          </w:p>
        </w:tc>
        <w:tc>
          <w:tcPr>
            <w:tcW w:w="4899" w:type="dxa"/>
            <w:tcBorders>
              <w:top w:val="nil"/>
              <w:left w:val="nil"/>
              <w:bottom w:val="nil"/>
              <w:right w:val="single" w:color="auto" w:sz="4" w:space="0"/>
            </w:tcBorders>
            <w:vAlign w:val="top"/>
          </w:tcPr>
          <w:p w14:paraId="1D45D027">
            <w:pPr>
              <w:spacing w:line="360" w:lineRule="auto"/>
              <w:ind w:firstLine="0" w:firstLineChars="0"/>
              <w:jc w:val="left"/>
              <w:rPr>
                <w:rFonts w:hint="eastAsia" w:cs="宋体"/>
                <w:sz w:val="21"/>
                <w:szCs w:val="21"/>
              </w:rPr>
            </w:pPr>
            <w:r>
              <w:rPr>
                <w:rFonts w:hint="eastAsia"/>
              </w:rPr>
              <w:t>联系方式：023-63621694</w:t>
            </w:r>
          </w:p>
        </w:tc>
      </w:tr>
      <w:tr w14:paraId="3EC78748">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vAlign w:val="top"/>
          </w:tcPr>
          <w:p w14:paraId="0AD75C41">
            <w:pPr>
              <w:spacing w:line="360" w:lineRule="auto"/>
              <w:ind w:firstLine="0" w:firstLineChars="0"/>
              <w:jc w:val="left"/>
              <w:rPr>
                <w:rFonts w:hint="eastAsia"/>
              </w:rPr>
            </w:pPr>
          </w:p>
        </w:tc>
      </w:tr>
      <w:tr w14:paraId="7ADDA07A">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vAlign w:val="top"/>
          </w:tcPr>
          <w:p w14:paraId="61C03E39">
            <w:pPr>
              <w:spacing w:line="360" w:lineRule="auto"/>
              <w:ind w:firstLine="0" w:firstLineChars="0"/>
              <w:jc w:val="left"/>
              <w:rPr>
                <w:rFonts w:hint="eastAsia"/>
              </w:rPr>
            </w:pPr>
            <w:r>
              <w:rPr>
                <w:rFonts w:hint="eastAsia"/>
                <w:lang w:val="en-US" w:eastAsia="zh-CN"/>
              </w:rPr>
              <w:t>7</w:t>
            </w:r>
            <w:r>
              <w:rPr>
                <w:rFonts w:hint="eastAsia"/>
              </w:rPr>
              <w:t>.3 比选人联系方式</w:t>
            </w:r>
          </w:p>
        </w:tc>
      </w:tr>
      <w:tr w14:paraId="0701B764">
        <w:tblPrEx>
          <w:tblCellMar>
            <w:top w:w="0" w:type="dxa"/>
            <w:left w:w="108" w:type="dxa"/>
            <w:bottom w:w="0" w:type="dxa"/>
            <w:right w:w="108" w:type="dxa"/>
          </w:tblCellMar>
        </w:tblPrEx>
        <w:tc>
          <w:tcPr>
            <w:tcW w:w="3524" w:type="dxa"/>
            <w:tcBorders>
              <w:top w:val="nil"/>
              <w:left w:val="single" w:color="auto" w:sz="4" w:space="0"/>
              <w:bottom w:val="nil"/>
              <w:right w:val="nil"/>
            </w:tcBorders>
            <w:vAlign w:val="top"/>
          </w:tcPr>
          <w:p w14:paraId="73043215">
            <w:pPr>
              <w:spacing w:line="360" w:lineRule="auto"/>
              <w:ind w:firstLine="0" w:firstLineChars="0"/>
              <w:jc w:val="left"/>
              <w:rPr>
                <w:rFonts w:hint="eastAsia" w:cs="宋体"/>
                <w:sz w:val="21"/>
                <w:szCs w:val="21"/>
              </w:rPr>
            </w:pPr>
            <w:r>
              <w:rPr>
                <w:rFonts w:hint="eastAsia"/>
              </w:rPr>
              <w:t>联系人：敬希</w:t>
            </w:r>
          </w:p>
        </w:tc>
        <w:tc>
          <w:tcPr>
            <w:tcW w:w="4899" w:type="dxa"/>
            <w:tcBorders>
              <w:top w:val="nil"/>
              <w:left w:val="nil"/>
              <w:bottom w:val="nil"/>
              <w:right w:val="single" w:color="auto" w:sz="4" w:space="0"/>
            </w:tcBorders>
            <w:vAlign w:val="top"/>
          </w:tcPr>
          <w:p w14:paraId="4399E3E3">
            <w:pPr>
              <w:spacing w:line="360" w:lineRule="auto"/>
              <w:ind w:firstLine="0" w:firstLineChars="0"/>
              <w:jc w:val="left"/>
              <w:rPr>
                <w:rFonts w:hint="eastAsia" w:cs="宋体"/>
                <w:sz w:val="21"/>
                <w:szCs w:val="21"/>
              </w:rPr>
            </w:pPr>
            <w:r>
              <w:rPr>
                <w:rFonts w:hint="eastAsia"/>
              </w:rPr>
              <w:t>联系方式：023-88890395</w:t>
            </w:r>
          </w:p>
        </w:tc>
      </w:tr>
      <w:tr w14:paraId="08827B71">
        <w:tblPrEx>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vAlign w:val="top"/>
          </w:tcPr>
          <w:p w14:paraId="08D51092">
            <w:pPr>
              <w:spacing w:line="360" w:lineRule="auto"/>
              <w:ind w:firstLine="0" w:firstLineChars="0"/>
              <w:jc w:val="left"/>
              <w:rPr>
                <w:rFonts w:hint="eastAsia"/>
              </w:rPr>
            </w:pPr>
            <w:r>
              <w:rPr>
                <w:rFonts w:hint="eastAsia"/>
              </w:rPr>
              <w:t>比选人地址：重庆市渝北区嘉州路88号中渝国际都会4号写字楼21层</w:t>
            </w:r>
          </w:p>
        </w:tc>
      </w:tr>
    </w:tbl>
    <w:p w14:paraId="29BD59FE">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jc w:val="right"/>
        <w:textAlignment w:val="auto"/>
        <w:rPr>
          <w:rFonts w:hint="eastAsia"/>
        </w:rPr>
      </w:pPr>
      <w:r>
        <w:rPr>
          <w:rFonts w:hint="eastAsia"/>
        </w:rPr>
        <w:t>重庆三峡银行股份有限公司</w:t>
      </w:r>
    </w:p>
    <w:p w14:paraId="4C40953F">
      <w:pPr>
        <w:keepNext w:val="0"/>
        <w:keepLines w:val="0"/>
        <w:pageBreakBefore w:val="0"/>
        <w:widowControl w:val="0"/>
        <w:kinsoku/>
        <w:wordWrap/>
        <w:overflowPunct/>
        <w:topLinePunct w:val="0"/>
        <w:autoSpaceDE w:val="0"/>
        <w:autoSpaceDN w:val="0"/>
        <w:bidi w:val="0"/>
        <w:adjustRightInd/>
        <w:snapToGrid/>
        <w:spacing w:line="360" w:lineRule="auto"/>
        <w:ind w:firstLine="480"/>
        <w:jc w:val="right"/>
        <w:textAlignment w:val="auto"/>
      </w:pPr>
      <w:r>
        <w:rPr>
          <w:rFonts w:hint="eastAsia"/>
        </w:rPr>
        <w:t>2024年</w:t>
      </w:r>
      <w:r>
        <w:t>11</w:t>
      </w:r>
      <w:r>
        <w:rPr>
          <w:rFonts w:hint="eastAsia"/>
        </w:rPr>
        <w:t>月</w:t>
      </w:r>
      <w:r>
        <w:rPr>
          <w:rFonts w:hint="eastAsia"/>
          <w:lang w:val="en-US" w:eastAsia="zh-CN"/>
        </w:rPr>
        <w:t>8</w:t>
      </w:r>
      <w:r>
        <w:rPr>
          <w:rFonts w:hint="eastAsia"/>
        </w:rPr>
        <w:t>日</w:t>
      </w:r>
    </w:p>
    <w:p w14:paraId="27DA94A1">
      <w:pPr>
        <w:ind w:firstLine="480"/>
        <w:rPr>
          <w:rFonts w:hint="eastAsia"/>
        </w:rPr>
      </w:pPr>
      <w:r>
        <w:br w:type="page"/>
      </w:r>
    </w:p>
    <w:p w14:paraId="7CD61605">
      <w:pPr>
        <w:pStyle w:val="2"/>
      </w:pPr>
      <w:bookmarkStart w:id="31" w:name="_Toc18999"/>
      <w:bookmarkStart w:id="32" w:name="_Toc1102"/>
      <w:bookmarkStart w:id="33" w:name="_Toc89675159"/>
      <w:bookmarkStart w:id="34" w:name="_Toc303066033"/>
      <w:bookmarkStart w:id="35" w:name="_Toc15296"/>
      <w:r>
        <w:rPr>
          <w:rFonts w:hint="eastAsia"/>
        </w:rPr>
        <w:t>第二章 参选人须知</w:t>
      </w:r>
      <w:bookmarkEnd w:id="31"/>
      <w:bookmarkEnd w:id="32"/>
      <w:bookmarkEnd w:id="33"/>
      <w:bookmarkEnd w:id="34"/>
      <w:bookmarkEnd w:id="35"/>
    </w:p>
    <w:p w14:paraId="225E5D4E">
      <w:pPr>
        <w:pStyle w:val="3"/>
      </w:pPr>
      <w:bookmarkStart w:id="36" w:name="_Toc89675160"/>
      <w:r>
        <w:rPr>
          <w:rFonts w:hint="eastAsia"/>
        </w:rPr>
        <w:t>1. 项目信息</w:t>
      </w:r>
    </w:p>
    <w:p w14:paraId="0A6362C5">
      <w:pPr>
        <w:pStyle w:val="4"/>
        <w:ind w:firstLine="482"/>
        <w:rPr>
          <w:rFonts w:hint="eastAsia"/>
        </w:rPr>
      </w:pPr>
      <w:r>
        <w:rPr>
          <w:rFonts w:hint="eastAsia"/>
        </w:rPr>
        <w:t>1.1 比选人</w:t>
      </w:r>
    </w:p>
    <w:p w14:paraId="0803DB11">
      <w:pPr>
        <w:ind w:firstLine="480"/>
        <w:rPr>
          <w:rFonts w:hint="eastAsia"/>
        </w:rPr>
      </w:pPr>
      <w:r>
        <w:t>重庆三峡银行股份有限公司</w:t>
      </w:r>
      <w:r>
        <w:rPr>
          <w:rFonts w:hint="eastAsia"/>
        </w:rPr>
        <w:t>。</w:t>
      </w:r>
    </w:p>
    <w:p w14:paraId="79BEF24A">
      <w:pPr>
        <w:pStyle w:val="4"/>
        <w:ind w:firstLine="482"/>
      </w:pPr>
      <w:r>
        <w:rPr>
          <w:rFonts w:hint="eastAsia"/>
        </w:rPr>
        <w:t>1.2 最高限价（含税）</w:t>
      </w:r>
    </w:p>
    <w:p w14:paraId="473F1699">
      <w:pPr>
        <w:ind w:firstLine="480"/>
        <w:rPr>
          <w:rFonts w:hint="eastAsia"/>
        </w:rPr>
      </w:pPr>
      <w:r>
        <w:rPr>
          <w:rFonts w:hint="eastAsia"/>
        </w:rPr>
        <w:t>4</w:t>
      </w:r>
      <w:r>
        <w:t>7万元</w:t>
      </w:r>
    </w:p>
    <w:p w14:paraId="754329C4">
      <w:pPr>
        <w:pStyle w:val="4"/>
        <w:ind w:firstLine="482"/>
        <w:rPr>
          <w:rFonts w:hint="eastAsia"/>
        </w:rPr>
      </w:pPr>
      <w:r>
        <w:rPr>
          <w:rFonts w:hint="eastAsia"/>
        </w:rPr>
        <w:t>1.3 项目概况</w:t>
      </w:r>
    </w:p>
    <w:bookmarkEnd w:id="36"/>
    <w:p w14:paraId="2A382DEC">
      <w:pPr>
        <w:ind w:firstLine="480"/>
        <w:rPr>
          <w:rFonts w:hint="eastAsia"/>
        </w:rPr>
      </w:pPr>
      <w:bookmarkStart w:id="37" w:name="_Toc89675161"/>
      <w:r>
        <w:rPr>
          <w:rFonts w:hint="eastAsia" w:ascii="宋体" w:cs="Cambria"/>
          <w:snapToGrid w:val="0"/>
          <w:kern w:val="0"/>
          <w:szCs w:val="24"/>
        </w:rPr>
        <w:t>为提升品牌知名度、影响力，我行拟于2024年</w:t>
      </w:r>
      <w:r>
        <w:rPr>
          <w:rFonts w:ascii="宋体" w:cs="Cambria"/>
          <w:snapToGrid w:val="0"/>
          <w:kern w:val="0"/>
          <w:szCs w:val="24"/>
        </w:rPr>
        <w:t>12月至</w:t>
      </w:r>
      <w:r>
        <w:rPr>
          <w:rFonts w:hint="eastAsia" w:ascii="宋体" w:cs="Cambria"/>
          <w:snapToGrid w:val="0"/>
          <w:kern w:val="0"/>
          <w:szCs w:val="24"/>
        </w:rPr>
        <w:t>2</w:t>
      </w:r>
      <w:r>
        <w:rPr>
          <w:rFonts w:ascii="宋体" w:cs="Cambria"/>
          <w:snapToGrid w:val="0"/>
          <w:kern w:val="0"/>
          <w:szCs w:val="24"/>
        </w:rPr>
        <w:t>025年</w:t>
      </w:r>
      <w:r>
        <w:rPr>
          <w:rFonts w:hint="eastAsia" w:ascii="宋体" w:cs="Cambria"/>
          <w:snapToGrid w:val="0"/>
          <w:kern w:val="0"/>
          <w:szCs w:val="24"/>
        </w:rPr>
        <w:t>1月期间，投放为期两个月的轨道交通1、3号线站台车到提醒冠名广告。</w:t>
      </w:r>
    </w:p>
    <w:p w14:paraId="6899F326">
      <w:pPr>
        <w:ind w:firstLine="482"/>
        <w:rPr>
          <w:rFonts w:hint="eastAsia"/>
          <w:b/>
        </w:rPr>
      </w:pPr>
      <w:r>
        <w:rPr>
          <w:rFonts w:hint="eastAsia"/>
          <w:b/>
        </w:rPr>
        <w:t>1.4 项目目标</w:t>
      </w:r>
    </w:p>
    <w:p w14:paraId="2F042D09">
      <w:pPr>
        <w:ind w:firstLine="480"/>
        <w:rPr>
          <w:rFonts w:hint="eastAsia" w:ascii="宋体" w:cs="Cambria"/>
          <w:snapToGrid w:val="0"/>
          <w:kern w:val="0"/>
          <w:szCs w:val="24"/>
        </w:rPr>
      </w:pPr>
      <w:r>
        <w:rPr>
          <w:rFonts w:hint="eastAsia" w:ascii="宋体" w:cs="Cambria"/>
          <w:snapToGrid w:val="0"/>
          <w:kern w:val="0"/>
          <w:szCs w:val="24"/>
        </w:rPr>
        <w:t>就上述广告牌以公开比选的形式，确定广告合作单位。</w:t>
      </w:r>
    </w:p>
    <w:p w14:paraId="0230D861">
      <w:pPr>
        <w:pStyle w:val="3"/>
      </w:pPr>
      <w:r>
        <w:rPr>
          <w:rFonts w:hint="eastAsia"/>
        </w:rPr>
        <w:t xml:space="preserve">2. </w:t>
      </w:r>
      <w:r>
        <w:t>参选</w:t>
      </w:r>
      <w:r>
        <w:rPr>
          <w:rFonts w:hint="eastAsia"/>
        </w:rPr>
        <w:t>人</w:t>
      </w:r>
      <w:bookmarkEnd w:id="37"/>
    </w:p>
    <w:p w14:paraId="1975C30F">
      <w:pPr>
        <w:ind w:firstLine="480"/>
        <w:rPr>
          <w:rFonts w:hint="eastAsia"/>
        </w:rPr>
      </w:pPr>
      <w:r>
        <w:rPr>
          <w:rFonts w:hint="eastAsia"/>
        </w:rPr>
        <w:t>2.1 合格参选人条件</w:t>
      </w:r>
    </w:p>
    <w:p w14:paraId="70DD9339">
      <w:pPr>
        <w:ind w:firstLine="480"/>
        <w:rPr>
          <w:rFonts w:hint="eastAsia"/>
        </w:rPr>
      </w:pPr>
      <w:r>
        <w:rPr>
          <w:rFonts w:hint="eastAsia"/>
        </w:rPr>
        <w:t>合格参选人应完全符合比选文件第一章中规定的参选人资格条件，并对比选文件作出实质性响应。</w:t>
      </w:r>
    </w:p>
    <w:p w14:paraId="45298944">
      <w:pPr>
        <w:ind w:firstLine="480"/>
        <w:rPr>
          <w:rFonts w:hint="eastAsia"/>
        </w:rPr>
      </w:pPr>
      <w:r>
        <w:rPr>
          <w:rFonts w:hint="eastAsia"/>
        </w:rPr>
        <w:t>2.2 参选人的风险</w:t>
      </w:r>
    </w:p>
    <w:p w14:paraId="53E74946">
      <w:pPr>
        <w:ind w:firstLine="480"/>
        <w:rPr>
          <w:rFonts w:hint="eastAsia"/>
        </w:rPr>
      </w:pPr>
      <w:r>
        <w:rPr>
          <w:rFonts w:hint="eastAsia"/>
        </w:rPr>
        <w:t>参选人没有按照比选文件要求提供全部资料，或者参选人没有对比选文件在各方面作出实质性响应，可能导致参选被拒绝或评定为无效参选。</w:t>
      </w:r>
    </w:p>
    <w:p w14:paraId="7BFA2074">
      <w:pPr>
        <w:pStyle w:val="3"/>
      </w:pPr>
      <w:bookmarkStart w:id="38" w:name="_Toc89675162"/>
      <w:r>
        <w:rPr>
          <w:rFonts w:hint="eastAsia"/>
        </w:rPr>
        <w:t>3. 比选文件</w:t>
      </w:r>
      <w:bookmarkEnd w:id="38"/>
    </w:p>
    <w:p w14:paraId="18EEA80C">
      <w:pPr>
        <w:ind w:firstLine="480"/>
        <w:rPr>
          <w:rFonts w:hint="eastAsia"/>
        </w:rPr>
      </w:pPr>
      <w:r>
        <w:rPr>
          <w:rFonts w:hint="eastAsia"/>
        </w:rPr>
        <w:t>比选文件是参选人编制参选文件的依据，是评审委员会评判依据和标准。比选文件也是比选人与中选人签订合同的基础。</w:t>
      </w:r>
    </w:p>
    <w:p w14:paraId="6CF0231E">
      <w:pPr>
        <w:ind w:firstLine="480"/>
        <w:rPr>
          <w:rFonts w:hint="eastAsia"/>
        </w:rPr>
      </w:pPr>
      <w:r>
        <w:rPr>
          <w:rFonts w:hint="eastAsia"/>
        </w:rPr>
        <w:t>本行对比选文件所作的一切有效的书面通知、修改及补充，都是比选文件不可分割的部分。</w:t>
      </w:r>
    </w:p>
    <w:p w14:paraId="0A02720D">
      <w:pPr>
        <w:pStyle w:val="3"/>
      </w:pPr>
      <w:bookmarkStart w:id="39" w:name="_Toc89675163"/>
      <w:r>
        <w:rPr>
          <w:rFonts w:hint="eastAsia"/>
        </w:rPr>
        <w:t xml:space="preserve">4. </w:t>
      </w:r>
      <w:r>
        <w:t>参选</w:t>
      </w:r>
      <w:bookmarkEnd w:id="39"/>
    </w:p>
    <w:p w14:paraId="03AD2113">
      <w:pPr>
        <w:ind w:firstLine="480"/>
        <w:rPr>
          <w:rFonts w:hint="eastAsia"/>
        </w:rPr>
      </w:pPr>
      <w:r>
        <w:rPr>
          <w:rFonts w:hint="eastAsia"/>
        </w:rPr>
        <w:t>参选人应当按照比选文件的要求编制参选文件，并对比选文件提出的要求和条件作出实质性响应。</w:t>
      </w:r>
    </w:p>
    <w:p w14:paraId="583E3620">
      <w:pPr>
        <w:pStyle w:val="4"/>
        <w:ind w:firstLine="482"/>
        <w:rPr>
          <w:rFonts w:hint="eastAsia"/>
        </w:rPr>
      </w:pPr>
      <w:r>
        <w:rPr>
          <w:rFonts w:hint="eastAsia"/>
        </w:rPr>
        <w:t>4.1 参选文件组成</w:t>
      </w:r>
    </w:p>
    <w:p w14:paraId="6CFDC353">
      <w:pPr>
        <w:ind w:firstLine="480"/>
        <w:rPr>
          <w:rFonts w:hint="eastAsia"/>
        </w:rPr>
      </w:pPr>
      <w:r>
        <w:rPr>
          <w:rFonts w:hint="eastAsia"/>
        </w:rPr>
        <w:t>参选文件由参选人所作的一切有效补充、修改和承诺等文件组成，参选人应按照第六章“参选文件格式”规定的目录顺序组织编写和装订，否则有可能影响参选人的参选文件评审。</w:t>
      </w:r>
    </w:p>
    <w:p w14:paraId="6228DDD3">
      <w:pPr>
        <w:pStyle w:val="4"/>
        <w:ind w:firstLine="482"/>
        <w:rPr>
          <w:rFonts w:hint="eastAsia"/>
        </w:rPr>
      </w:pPr>
      <w:r>
        <w:rPr>
          <w:rFonts w:hint="eastAsia"/>
        </w:rPr>
        <w:t>4.2 联合参选</w:t>
      </w:r>
    </w:p>
    <w:p w14:paraId="60F54408">
      <w:pPr>
        <w:ind w:firstLine="480"/>
        <w:rPr>
          <w:rFonts w:hint="eastAsia"/>
        </w:rPr>
      </w:pPr>
      <w:r>
        <w:rPr>
          <w:rFonts w:hint="eastAsia"/>
        </w:rPr>
        <w:t>本比选项目不接受联合参选</w:t>
      </w:r>
    </w:p>
    <w:p w14:paraId="4685DBC8">
      <w:pPr>
        <w:pStyle w:val="4"/>
        <w:ind w:firstLine="482"/>
        <w:rPr>
          <w:rFonts w:hint="eastAsia"/>
        </w:rPr>
      </w:pPr>
      <w:r>
        <w:rPr>
          <w:rFonts w:hint="eastAsia"/>
        </w:rPr>
        <w:t>4.3 参选有效期</w:t>
      </w:r>
    </w:p>
    <w:p w14:paraId="09839651">
      <w:pPr>
        <w:ind w:firstLine="480"/>
        <w:rPr>
          <w:rFonts w:hint="eastAsia"/>
        </w:rPr>
      </w:pPr>
      <w:r>
        <w:rPr>
          <w:rFonts w:hint="eastAsia"/>
        </w:rPr>
        <w:t>参选有效期为参选截止日期后90天内。</w:t>
      </w:r>
    </w:p>
    <w:p w14:paraId="2B07955F">
      <w:pPr>
        <w:pStyle w:val="4"/>
        <w:ind w:firstLine="482"/>
        <w:rPr>
          <w:rFonts w:hint="eastAsia"/>
        </w:rPr>
      </w:pPr>
      <w:r>
        <w:rPr>
          <w:rFonts w:hint="eastAsia"/>
        </w:rPr>
        <w:t>4.4 参选保证金</w:t>
      </w:r>
    </w:p>
    <w:p w14:paraId="5C015118">
      <w:pPr>
        <w:ind w:firstLine="480"/>
        <w:rPr>
          <w:rFonts w:hint="eastAsia"/>
        </w:rPr>
      </w:pPr>
      <w:r>
        <w:rPr>
          <w:rFonts w:hint="eastAsia"/>
        </w:rPr>
        <w:t>4.4.1 参选人应在参选截止时间前，按比选文件第一章规定向比选人缴纳参选保证金。</w:t>
      </w:r>
    </w:p>
    <w:p w14:paraId="11251D9D">
      <w:pPr>
        <w:ind w:firstLine="480"/>
        <w:rPr>
          <w:rFonts w:hint="eastAsia"/>
        </w:rPr>
      </w:pPr>
      <w:r>
        <w:rPr>
          <w:rFonts w:hint="eastAsia"/>
        </w:rPr>
        <w:t>4.4.2 参选保证金为参选的有效约束条件。</w:t>
      </w:r>
    </w:p>
    <w:p w14:paraId="605872E1">
      <w:pPr>
        <w:ind w:firstLine="480"/>
        <w:rPr>
          <w:rFonts w:hint="eastAsia"/>
        </w:rPr>
      </w:pPr>
      <w:r>
        <w:rPr>
          <w:rFonts w:hint="eastAsia"/>
        </w:rPr>
        <w:t>4.4.3 参选保证金有效期与参选文件有效期一致。</w:t>
      </w:r>
    </w:p>
    <w:p w14:paraId="1C31A004">
      <w:pPr>
        <w:ind w:firstLine="480"/>
        <w:rPr>
          <w:rFonts w:hint="eastAsia"/>
        </w:rPr>
      </w:pPr>
      <w:r>
        <w:rPr>
          <w:rFonts w:hint="eastAsia"/>
        </w:rPr>
        <w:t>4.4.4 参选保证金币种应与参选报价币种相同。</w:t>
      </w:r>
    </w:p>
    <w:p w14:paraId="0AE1009F">
      <w:pPr>
        <w:ind w:firstLine="480"/>
        <w:rPr>
          <w:rFonts w:hint="eastAsia"/>
        </w:rPr>
      </w:pPr>
      <w:r>
        <w:rPr>
          <w:rFonts w:hint="eastAsia"/>
        </w:rPr>
        <w:t>4.4.5 参选保证金的退还：</w:t>
      </w:r>
    </w:p>
    <w:p w14:paraId="2DDFCB3C">
      <w:pPr>
        <w:ind w:firstLine="480"/>
        <w:rPr>
          <w:rFonts w:hint="eastAsia"/>
        </w:rPr>
      </w:pPr>
      <w:r>
        <w:rPr>
          <w:rFonts w:hint="eastAsia"/>
        </w:rPr>
        <w:t>比选人在中选通知书发出后2个工作日内将中选通知书和保证金退还通知抄告重庆市公共资源交易中心，重庆市公共资源交易中心在收到保证金退还通知后2个工作日内，向除中选人和中选候选人以外的参选人，退还参选保证金。</w:t>
      </w:r>
    </w:p>
    <w:p w14:paraId="7E328D97">
      <w:pPr>
        <w:ind w:firstLine="480"/>
        <w:rPr>
          <w:rFonts w:hint="eastAsia"/>
        </w:rPr>
      </w:pPr>
      <w:r>
        <w:rPr>
          <w:rFonts w:hint="eastAsia"/>
        </w:rPr>
        <w:t>比选人在合同生效后2个工作日内将签订的合同和保证金退还通知抄告重庆市公共资源交易中心，重庆市公共资源交易中心在收到保证金退还通知后2个工作日内，向中选人和中选候选人退还参选保证金。</w:t>
      </w:r>
    </w:p>
    <w:p w14:paraId="0816D530">
      <w:pPr>
        <w:ind w:firstLine="480"/>
        <w:rPr>
          <w:rFonts w:hint="eastAsia"/>
        </w:rPr>
      </w:pPr>
      <w:r>
        <w:rPr>
          <w:rFonts w:hint="eastAsia"/>
        </w:rPr>
        <w:t>参选保证金专用账户由重庆市公共资源交易中心制定，关于保证金相关情况的问题请咨询重庆市公共资源交易中心，联系电话023-63621694。</w:t>
      </w:r>
    </w:p>
    <w:p w14:paraId="3828C1F6">
      <w:pPr>
        <w:ind w:firstLine="480"/>
        <w:rPr>
          <w:rFonts w:hint="eastAsia"/>
        </w:rPr>
      </w:pPr>
      <w:r>
        <w:rPr>
          <w:rFonts w:hint="eastAsia"/>
        </w:rPr>
        <w:t>4.4.6 参选人有下列情形之一的，参选保证金将不予退还：</w:t>
      </w:r>
    </w:p>
    <w:p w14:paraId="0D15A951">
      <w:pPr>
        <w:ind w:firstLine="480"/>
        <w:rPr>
          <w:rFonts w:hint="eastAsia"/>
        </w:rPr>
      </w:pPr>
      <w:r>
        <w:rPr>
          <w:rFonts w:hint="eastAsia"/>
        </w:rPr>
        <w:t>4.4.6.1 参选人在参选有效期内撤销参选文件的；</w:t>
      </w:r>
    </w:p>
    <w:p w14:paraId="13D0949A">
      <w:pPr>
        <w:ind w:firstLine="480"/>
        <w:rPr>
          <w:rFonts w:hint="eastAsia"/>
        </w:rPr>
      </w:pPr>
      <w:r>
        <w:rPr>
          <w:rFonts w:hint="eastAsia"/>
        </w:rPr>
        <w:t>4.4.6.2 参选人在参选过程中弄虚作假，提供虚假材料的；</w:t>
      </w:r>
    </w:p>
    <w:p w14:paraId="2004A283">
      <w:pPr>
        <w:ind w:firstLine="480"/>
        <w:rPr>
          <w:rFonts w:hint="eastAsia"/>
        </w:rPr>
      </w:pPr>
      <w:r>
        <w:rPr>
          <w:rFonts w:hint="eastAsia"/>
        </w:rPr>
        <w:t>4.4.6.3 中选人无正当理由不与比选人签订合同的；</w:t>
      </w:r>
    </w:p>
    <w:p w14:paraId="3590607F">
      <w:pPr>
        <w:ind w:firstLine="480"/>
        <w:rPr>
          <w:rFonts w:hint="eastAsia"/>
        </w:rPr>
      </w:pPr>
      <w:r>
        <w:rPr>
          <w:rFonts w:hint="eastAsia"/>
        </w:rPr>
        <w:t>4.4.6.4 中选人将中选项目转让给他人或者在参选文件中未说明且未经比选单位同意，将中选项目分包给他人的；</w:t>
      </w:r>
    </w:p>
    <w:p w14:paraId="41974FE9">
      <w:pPr>
        <w:ind w:firstLine="480"/>
        <w:rPr>
          <w:rFonts w:hint="eastAsia"/>
        </w:rPr>
      </w:pPr>
      <w:r>
        <w:rPr>
          <w:rFonts w:hint="eastAsia"/>
        </w:rPr>
        <w:t>4.4.6.5 中选人拒绝履行合同义务的；</w:t>
      </w:r>
    </w:p>
    <w:p w14:paraId="65BB543D">
      <w:pPr>
        <w:ind w:firstLine="480"/>
        <w:rPr>
          <w:rFonts w:hint="eastAsia"/>
        </w:rPr>
      </w:pPr>
      <w:r>
        <w:rPr>
          <w:rFonts w:hint="eastAsia"/>
        </w:rPr>
        <w:t>4.4.6.6 其他严重扰乱比选程序的；</w:t>
      </w:r>
    </w:p>
    <w:p w14:paraId="4A05D7A4">
      <w:pPr>
        <w:pStyle w:val="4"/>
        <w:ind w:firstLine="482"/>
        <w:rPr>
          <w:rFonts w:hint="eastAsia"/>
        </w:rPr>
      </w:pPr>
      <w:r>
        <w:rPr>
          <w:rFonts w:hint="eastAsia"/>
        </w:rPr>
        <w:t>4.5 参选文件的份数和签署</w:t>
      </w:r>
    </w:p>
    <w:p w14:paraId="07B0463E">
      <w:pPr>
        <w:ind w:firstLine="480"/>
        <w:rPr>
          <w:rFonts w:hint="eastAsia"/>
        </w:rPr>
      </w:pPr>
      <w:r>
        <w:rPr>
          <w:rFonts w:hint="eastAsia"/>
        </w:rPr>
        <w:t>4.5.1 参选文件一式三份，其中正本一份，副本一份，电子文件一份（U盘），正本和副本的封面上应清楚地标记“正本”或“副本”的字样，副本可为正本的复印件，当副本和正本不一致时，以纸质正本为准。电子文件应为参选文件盖章后的PDF格式扫描件，文件名为“参选人单位名简称+项目名简称”。</w:t>
      </w:r>
    </w:p>
    <w:p w14:paraId="67E5642F">
      <w:pPr>
        <w:ind w:firstLine="480"/>
        <w:rPr>
          <w:rFonts w:hint="eastAsia"/>
        </w:rPr>
      </w:pPr>
      <w:r>
        <w:rPr>
          <w:rFonts w:hint="eastAsia"/>
        </w:rPr>
        <w:t>4.5.2 参选文件正本中，每一页均应由参选人加盖公章，其中规定格式的文件应当按要求签名和加盖参选人公章。</w:t>
      </w:r>
    </w:p>
    <w:p w14:paraId="61A9F482">
      <w:pPr>
        <w:ind w:firstLine="480"/>
        <w:rPr>
          <w:rFonts w:hint="eastAsia"/>
        </w:rPr>
      </w:pPr>
      <w:r>
        <w:rPr>
          <w:rFonts w:hint="eastAsia"/>
        </w:rPr>
        <w:t>4.5.3 若参选人对参选文件的错处作必要修改，则应在修改处加盖参选人公章或由法人或法人授权代表签字确认。</w:t>
      </w:r>
    </w:p>
    <w:p w14:paraId="5C404492">
      <w:pPr>
        <w:ind w:firstLine="480"/>
        <w:rPr>
          <w:rFonts w:hint="eastAsia"/>
        </w:rPr>
      </w:pPr>
      <w:r>
        <w:rPr>
          <w:rFonts w:hint="eastAsia"/>
        </w:rPr>
        <w:t>4.5.4 电报、电话、邮寄、传真形式的参选文件概不接受。</w:t>
      </w:r>
    </w:p>
    <w:p w14:paraId="30A10C03">
      <w:pPr>
        <w:pStyle w:val="4"/>
        <w:ind w:firstLine="482"/>
        <w:rPr>
          <w:rFonts w:hint="eastAsia"/>
        </w:rPr>
      </w:pPr>
      <w:r>
        <w:rPr>
          <w:rFonts w:hint="eastAsia"/>
        </w:rPr>
        <w:t>4.6 参选文件的密封与标记</w:t>
      </w:r>
    </w:p>
    <w:p w14:paraId="7C77F03F">
      <w:pPr>
        <w:ind w:firstLine="480"/>
        <w:rPr>
          <w:rFonts w:hint="eastAsia"/>
        </w:rPr>
      </w:pPr>
      <w:r>
        <w:rPr>
          <w:rFonts w:hint="eastAsia"/>
        </w:rPr>
        <w:t>参选文件的正本、副本、电子文件装入一个文件大袋进行密封。密封袋上注明项目名称、参选人名称及“不准提前启封”字样。信封的封口须加盖参选人公章或授权代表签字。</w:t>
      </w:r>
    </w:p>
    <w:p w14:paraId="484DBB1D">
      <w:pPr>
        <w:ind w:firstLine="480"/>
        <w:rPr>
          <w:rFonts w:hint="eastAsia"/>
        </w:rPr>
      </w:pPr>
      <w:r>
        <w:rPr>
          <w:rFonts w:hint="eastAsia"/>
        </w:rPr>
        <w:t>如果未按上述规定进行密封和标记，则其参选将作为无效参选处理。</w:t>
      </w:r>
    </w:p>
    <w:p w14:paraId="560C4C1E">
      <w:pPr>
        <w:pStyle w:val="4"/>
        <w:ind w:firstLine="482"/>
        <w:rPr>
          <w:rFonts w:hint="eastAsia"/>
        </w:rPr>
      </w:pPr>
      <w:r>
        <w:rPr>
          <w:rFonts w:hint="eastAsia"/>
        </w:rPr>
        <w:t>4.7 参选报价</w:t>
      </w:r>
    </w:p>
    <w:p w14:paraId="3991B076">
      <w:pPr>
        <w:ind w:firstLine="480"/>
        <w:rPr>
          <w:rFonts w:hint="eastAsia"/>
        </w:rPr>
      </w:pPr>
      <w:r>
        <w:rPr>
          <w:rFonts w:hint="eastAsia"/>
        </w:rPr>
        <w:t>4.7.1 参选人应严格按照“参选文件格式”填写报价。</w:t>
      </w:r>
    </w:p>
    <w:p w14:paraId="430CC9DB">
      <w:pPr>
        <w:ind w:firstLine="480"/>
        <w:rPr>
          <w:rFonts w:hint="eastAsia"/>
        </w:rPr>
      </w:pPr>
      <w:r>
        <w:rPr>
          <w:rFonts w:hint="eastAsia"/>
        </w:rPr>
        <w:t>4.7.2 参选人的报价为一次性报价，即在参选有效期内参选价格固定不变。</w:t>
      </w:r>
    </w:p>
    <w:p w14:paraId="681F4F72">
      <w:pPr>
        <w:ind w:firstLine="480"/>
        <w:rPr>
          <w:rFonts w:hint="eastAsia"/>
        </w:rPr>
      </w:pPr>
      <w:r>
        <w:rPr>
          <w:rFonts w:hint="eastAsia"/>
        </w:rPr>
        <w:t>4.7.3 本项目只接受一个参选报价，有选择的或有条件的参选将不予接受。</w:t>
      </w:r>
    </w:p>
    <w:p w14:paraId="7F1F6A41">
      <w:pPr>
        <w:ind w:firstLine="480"/>
        <w:rPr>
          <w:rFonts w:hint="eastAsia"/>
        </w:rPr>
      </w:pPr>
      <w:r>
        <w:rPr>
          <w:rFonts w:hint="eastAsia"/>
        </w:rPr>
        <w:t>4.7.4 参选报价不得高于最高限价。</w:t>
      </w:r>
    </w:p>
    <w:p w14:paraId="5A42EFAE">
      <w:pPr>
        <w:pStyle w:val="4"/>
        <w:ind w:firstLine="482"/>
        <w:rPr>
          <w:rFonts w:hint="eastAsia"/>
        </w:rPr>
      </w:pPr>
      <w:r>
        <w:rPr>
          <w:rFonts w:hint="eastAsia"/>
        </w:rPr>
        <w:t>4.8 修正错误</w:t>
      </w:r>
    </w:p>
    <w:p w14:paraId="0B3A3C76">
      <w:pPr>
        <w:ind w:firstLine="480"/>
        <w:rPr>
          <w:rFonts w:hint="eastAsia"/>
        </w:rPr>
      </w:pPr>
      <w:r>
        <w:rPr>
          <w:rFonts w:hint="eastAsia"/>
        </w:rPr>
        <w:t>若参选文件出现计算或表达上的错误，修正错误的原则如下：</w:t>
      </w:r>
    </w:p>
    <w:p w14:paraId="1B333DAF">
      <w:pPr>
        <w:ind w:firstLine="480"/>
        <w:rPr>
          <w:rFonts w:hint="eastAsia"/>
        </w:rPr>
      </w:pPr>
      <w:r>
        <w:rPr>
          <w:rFonts w:hint="eastAsia"/>
        </w:rPr>
        <w:t>4.8.1 参选文件的大写金额和小写金额不一致的，以大写金额为准；</w:t>
      </w:r>
    </w:p>
    <w:p w14:paraId="1BE8595C">
      <w:pPr>
        <w:ind w:firstLine="480"/>
        <w:rPr>
          <w:rFonts w:hint="eastAsia"/>
        </w:rPr>
      </w:pPr>
      <w:r>
        <w:rPr>
          <w:rFonts w:hint="eastAsia"/>
        </w:rPr>
        <w:t>4.8.2 总价金额与按单价汇总金额不一致的，以单价金额计算结果为准；</w:t>
      </w:r>
    </w:p>
    <w:p w14:paraId="064ED36F">
      <w:pPr>
        <w:ind w:firstLine="480"/>
        <w:rPr>
          <w:rFonts w:hint="eastAsia"/>
        </w:rPr>
      </w:pPr>
      <w:r>
        <w:rPr>
          <w:rFonts w:hint="eastAsia"/>
        </w:rPr>
        <w:t>4.8.3 单价金额小数点有明显错位的，应以总价为准，并修正单价；</w:t>
      </w:r>
    </w:p>
    <w:p w14:paraId="06A34900">
      <w:pPr>
        <w:ind w:firstLine="480"/>
        <w:rPr>
          <w:rFonts w:hint="eastAsia"/>
        </w:rPr>
      </w:pPr>
      <w:r>
        <w:rPr>
          <w:rFonts w:hint="eastAsia"/>
        </w:rPr>
        <w:t>4.8.4 对不同文字文本参选文件的解释发生异议的，以中文文本为准。</w:t>
      </w:r>
    </w:p>
    <w:p w14:paraId="383475EC">
      <w:pPr>
        <w:ind w:firstLine="480"/>
        <w:rPr>
          <w:rFonts w:ascii="Times New Roman" w:hAnsi="Times New Roman"/>
        </w:rPr>
      </w:pPr>
      <w:r>
        <w:rPr>
          <w:rFonts w:hint="eastAsia"/>
        </w:rPr>
        <w:t>4.8.5 含税金额与不含税金额不一致的，以含税金额为准。</w:t>
      </w:r>
    </w:p>
    <w:p w14:paraId="37630912">
      <w:pPr>
        <w:ind w:firstLine="480"/>
        <w:rPr>
          <w:rFonts w:hint="eastAsia"/>
        </w:rPr>
      </w:pPr>
      <w:r>
        <w:rPr>
          <w:rFonts w:hint="eastAsia"/>
        </w:rPr>
        <w:t>评审委员会按上述修正错误的原则及方法调整或修正参选人参选报价，参选人授权代表同意并签字确认后，调整后的参选报价对参选人具有约束作用。如果参选人不接受修正后的报价，则其参选将作为无效参选处理。</w:t>
      </w:r>
    </w:p>
    <w:p w14:paraId="7DEC6745">
      <w:pPr>
        <w:pStyle w:val="3"/>
      </w:pPr>
      <w:bookmarkStart w:id="40" w:name="_Toc89675166"/>
      <w:r>
        <w:rPr>
          <w:rFonts w:hint="eastAsia"/>
        </w:rPr>
        <w:t>5. 比选程序</w:t>
      </w:r>
    </w:p>
    <w:p w14:paraId="7FA90A5C">
      <w:pPr>
        <w:ind w:firstLine="480"/>
        <w:rPr>
          <w:rFonts w:hint="eastAsia"/>
        </w:rPr>
      </w:pPr>
      <w:r>
        <w:rPr>
          <w:rFonts w:hint="eastAsia"/>
        </w:rPr>
        <w:t>主持人按下列程序进行比选：</w:t>
      </w:r>
    </w:p>
    <w:p w14:paraId="583B6734">
      <w:pPr>
        <w:ind w:firstLine="480"/>
        <w:rPr>
          <w:rFonts w:hint="eastAsia"/>
        </w:rPr>
      </w:pPr>
      <w:r>
        <w:rPr>
          <w:rFonts w:hint="eastAsia"/>
        </w:rPr>
        <w:t>5.1 宣布比选纪律；</w:t>
      </w:r>
    </w:p>
    <w:p w14:paraId="1CF208F9">
      <w:pPr>
        <w:ind w:firstLine="480"/>
        <w:rPr>
          <w:rFonts w:hint="eastAsia"/>
        </w:rPr>
      </w:pPr>
      <w:r>
        <w:rPr>
          <w:rFonts w:hint="eastAsia"/>
        </w:rPr>
        <w:t>5.2 宣布比选人、唱标人、记录人、监督人等有关人员姓名；</w:t>
      </w:r>
    </w:p>
    <w:p w14:paraId="7EC16945">
      <w:pPr>
        <w:ind w:firstLine="480"/>
        <w:rPr>
          <w:rFonts w:hint="eastAsia"/>
        </w:rPr>
      </w:pPr>
      <w:r>
        <w:rPr>
          <w:rFonts w:hint="eastAsia"/>
        </w:rPr>
        <w:t>5.3 公布在参选截止时间前递交参选文件的参选人名称，并点名确认参选人是否派人到场；</w:t>
      </w:r>
    </w:p>
    <w:p w14:paraId="1AD8DB25">
      <w:pPr>
        <w:ind w:firstLine="480"/>
        <w:rPr>
          <w:rFonts w:hint="eastAsia"/>
        </w:rPr>
      </w:pPr>
      <w:r>
        <w:rPr>
          <w:rFonts w:hint="eastAsia"/>
        </w:rPr>
        <w:t>5.4 展示参选保证金，参选保证金缴款不全或有误的，则记录在案交由评审委员会评审；</w:t>
      </w:r>
    </w:p>
    <w:p w14:paraId="420589FD">
      <w:pPr>
        <w:ind w:firstLine="480"/>
        <w:rPr>
          <w:rFonts w:hint="eastAsia"/>
        </w:rPr>
      </w:pPr>
      <w:r>
        <w:rPr>
          <w:rFonts w:hint="eastAsia"/>
        </w:rPr>
        <w:t>5.5 封装情况检查：参选人或者其推选的代表检查各参选文件的封装情况并确认；</w:t>
      </w:r>
    </w:p>
    <w:p w14:paraId="45348B64">
      <w:pPr>
        <w:ind w:firstLine="480"/>
        <w:rPr>
          <w:rFonts w:hint="eastAsia"/>
        </w:rPr>
      </w:pPr>
      <w:r>
        <w:rPr>
          <w:rFonts w:hint="eastAsia"/>
        </w:rPr>
        <w:t>5.6 设有最高限价的，公布最高限价；</w:t>
      </w:r>
    </w:p>
    <w:p w14:paraId="7BE839F4">
      <w:pPr>
        <w:ind w:firstLine="480"/>
        <w:rPr>
          <w:rFonts w:hint="eastAsia"/>
        </w:rPr>
      </w:pPr>
      <w:r>
        <w:rPr>
          <w:rFonts w:hint="eastAsia"/>
        </w:rPr>
        <w:t>5.7 开启参选文件；</w:t>
      </w:r>
    </w:p>
    <w:p w14:paraId="3A776760">
      <w:pPr>
        <w:ind w:firstLine="480"/>
        <w:rPr>
          <w:rFonts w:hint="eastAsia"/>
        </w:rPr>
      </w:pPr>
      <w:r>
        <w:rPr>
          <w:rFonts w:hint="eastAsia"/>
        </w:rPr>
        <w:t>5.8 比选人代表、参选人代表、监督人、记录人等有关人员在比选记录上签字确认；</w:t>
      </w:r>
    </w:p>
    <w:p w14:paraId="7A202701">
      <w:pPr>
        <w:ind w:firstLine="480"/>
        <w:rPr>
          <w:rFonts w:hint="eastAsia"/>
        </w:rPr>
      </w:pPr>
      <w:r>
        <w:rPr>
          <w:rFonts w:hint="eastAsia"/>
        </w:rPr>
        <w:t>5.9 比选结束。</w:t>
      </w:r>
    </w:p>
    <w:p w14:paraId="53FDAC45">
      <w:pPr>
        <w:pStyle w:val="3"/>
      </w:pPr>
      <w:r>
        <w:rPr>
          <w:rFonts w:hint="eastAsia"/>
        </w:rPr>
        <w:t>6. 评审</w:t>
      </w:r>
    </w:p>
    <w:p w14:paraId="7D58384F">
      <w:pPr>
        <w:ind w:firstLine="480"/>
        <w:rPr>
          <w:rFonts w:hint="eastAsia"/>
        </w:rPr>
      </w:pPr>
      <w:r>
        <w:rPr>
          <w:rFonts w:hint="eastAsia"/>
        </w:rPr>
        <w:t>见第四章内容。</w:t>
      </w:r>
    </w:p>
    <w:p w14:paraId="3F716FCC">
      <w:pPr>
        <w:pStyle w:val="3"/>
      </w:pPr>
      <w:r>
        <w:rPr>
          <w:rFonts w:hint="eastAsia"/>
        </w:rPr>
        <w:t>7. 定</w:t>
      </w:r>
      <w:r>
        <w:t>选</w:t>
      </w:r>
      <w:bookmarkEnd w:id="40"/>
    </w:p>
    <w:p w14:paraId="1B428A0B">
      <w:pPr>
        <w:ind w:firstLine="480"/>
        <w:rPr>
          <w:rFonts w:hint="eastAsia"/>
        </w:rPr>
      </w:pPr>
      <w:r>
        <w:rPr>
          <w:rFonts w:hint="eastAsia"/>
        </w:rPr>
        <w:t>7.1 定选原则</w:t>
      </w:r>
    </w:p>
    <w:p w14:paraId="7A63EC6D">
      <w:pPr>
        <w:ind w:firstLine="480"/>
        <w:rPr>
          <w:rFonts w:hint="eastAsia"/>
        </w:rPr>
      </w:pPr>
      <w:r>
        <w:rPr>
          <w:rFonts w:hint="eastAsia"/>
        </w:rPr>
        <w:t>比选人按照评审报告中推荐的中选候选人排名顺序确定中选人，如中选人因不可抗力或者自身原因不能履行合同的，比选人可以确定依次其后的候选人为中选人，以此类推。</w:t>
      </w:r>
    </w:p>
    <w:p w14:paraId="2C3063B3">
      <w:pPr>
        <w:ind w:firstLine="480"/>
        <w:rPr>
          <w:rFonts w:hint="eastAsia"/>
        </w:rPr>
      </w:pPr>
      <w:r>
        <w:rPr>
          <w:rFonts w:hint="eastAsia"/>
        </w:rPr>
        <w:t>7.2 不承诺最低价格中选。</w:t>
      </w:r>
    </w:p>
    <w:p w14:paraId="769B2B24">
      <w:pPr>
        <w:ind w:firstLine="480"/>
        <w:rPr>
          <w:rFonts w:hint="eastAsia"/>
        </w:rPr>
      </w:pPr>
      <w:r>
        <w:rPr>
          <w:rFonts w:hint="eastAsia"/>
        </w:rPr>
        <w:t>7.3 若中选人参选材料出现造假、不实等与实际查询结果不符或无故弃选的情况，比选人有权选择重新比选或顺延下一中选候选人，由此带来的损失比选人有权通过没收参选保证金等方式进行追溯。</w:t>
      </w:r>
    </w:p>
    <w:p w14:paraId="56AC8796">
      <w:pPr>
        <w:pStyle w:val="3"/>
      </w:pPr>
      <w:bookmarkStart w:id="41" w:name="_Toc89675168"/>
      <w:bookmarkStart w:id="42" w:name="_Toc12245"/>
      <w:r>
        <w:rPr>
          <w:rFonts w:hint="eastAsia"/>
        </w:rPr>
        <w:t>8. 签订合同</w:t>
      </w:r>
      <w:bookmarkEnd w:id="41"/>
      <w:bookmarkEnd w:id="42"/>
    </w:p>
    <w:p w14:paraId="6FF4E424">
      <w:pPr>
        <w:ind w:firstLine="480"/>
        <w:rPr>
          <w:rFonts w:hint="eastAsia"/>
        </w:rPr>
      </w:pPr>
      <w:r>
        <w:rPr>
          <w:rFonts w:hint="eastAsia"/>
        </w:rPr>
        <w:t>8.1 比选人指定的使用单位将在自中选通知发出之日起，依据比选文件和中选人参选文件的约定，按照比选人内部流程与中选人签订书面合同。所签订的合同不得对比选文件和中选人参选文件作实质性修改。</w:t>
      </w:r>
    </w:p>
    <w:p w14:paraId="563E130B">
      <w:pPr>
        <w:ind w:firstLine="480"/>
        <w:rPr>
          <w:rFonts w:hint="eastAsia"/>
        </w:rPr>
      </w:pPr>
      <w:r>
        <w:rPr>
          <w:rFonts w:hint="eastAsia"/>
        </w:rPr>
        <w:t>8.2 比选文件、中选人的参选文件及澄清文件等，均为签订合同的依据。</w:t>
      </w:r>
    </w:p>
    <w:p w14:paraId="601199B0">
      <w:pPr>
        <w:ind w:firstLine="480"/>
        <w:rPr>
          <w:rFonts w:hint="eastAsia"/>
        </w:rPr>
      </w:pPr>
      <w:r>
        <w:rPr>
          <w:rFonts w:hint="eastAsia"/>
        </w:rPr>
        <w:t>8.3 合同生效条款由供需双方约定，法律、行政法规规定应当办理批准、登记等手续后生效的合同，依照其规定。</w:t>
      </w:r>
    </w:p>
    <w:p w14:paraId="41F3C71D">
      <w:pPr>
        <w:ind w:firstLine="480"/>
        <w:rPr>
          <w:rFonts w:hint="eastAsia"/>
        </w:rPr>
      </w:pPr>
      <w:r>
        <w:rPr>
          <w:rFonts w:hint="eastAsia"/>
        </w:rPr>
        <w:t>8.4 签订合同前后，若中选人无法按要求履约，比选人可以废除中选人资格，并可选择按照中选候选人顺位与下一候选人签订合同。</w:t>
      </w:r>
    </w:p>
    <w:p w14:paraId="1EB460AF">
      <w:pPr>
        <w:ind w:firstLine="480"/>
        <w:rPr>
          <w:rFonts w:hint="eastAsia"/>
        </w:rPr>
      </w:pPr>
      <w:r>
        <w:rPr>
          <w:rFonts w:hint="eastAsia"/>
        </w:rPr>
        <w:t>8.5 该项目不允许任何形式的转包。</w:t>
      </w:r>
    </w:p>
    <w:p w14:paraId="2417A4EB">
      <w:pPr>
        <w:pStyle w:val="3"/>
      </w:pPr>
      <w:r>
        <w:rPr>
          <w:rFonts w:hint="eastAsia"/>
        </w:rPr>
        <w:t>9. 纪律与要求</w:t>
      </w:r>
    </w:p>
    <w:p w14:paraId="0C27BC07">
      <w:pPr>
        <w:ind w:firstLine="480"/>
        <w:rPr>
          <w:rFonts w:hint="eastAsia"/>
        </w:rPr>
      </w:pPr>
      <w:r>
        <w:rPr>
          <w:rFonts w:hint="eastAsia"/>
        </w:rPr>
        <w:t>参选人不得相互串通参选或者与比选人串通参选，不得向比选人行贿谋取中选，不得以他人名义参选或者以其他方式弄虚作假骗取中选；参选人不得以任何方式干扰、影响评审工作。</w:t>
      </w:r>
    </w:p>
    <w:p w14:paraId="6C927D2B">
      <w:pPr>
        <w:ind w:firstLine="480"/>
        <w:rPr>
          <w:rFonts w:hint="eastAsia"/>
        </w:rPr>
      </w:pPr>
      <w:r>
        <w:rPr>
          <w:rFonts w:hint="eastAsia"/>
        </w:rPr>
        <w:t>9.1 有下列情形之一的，属于参选人相互串通参选：</w:t>
      </w:r>
    </w:p>
    <w:p w14:paraId="617E4C59">
      <w:pPr>
        <w:ind w:firstLine="480"/>
        <w:rPr>
          <w:rFonts w:hint="eastAsia"/>
        </w:rPr>
      </w:pPr>
      <w:r>
        <w:rPr>
          <w:rFonts w:hint="eastAsia"/>
        </w:rPr>
        <w:t>9.1.1 参选人之间协商参选报价等参选文件的实质性内容；</w:t>
      </w:r>
    </w:p>
    <w:p w14:paraId="18410459">
      <w:pPr>
        <w:ind w:firstLine="480"/>
        <w:rPr>
          <w:rFonts w:hint="eastAsia"/>
        </w:rPr>
      </w:pPr>
      <w:r>
        <w:rPr>
          <w:rFonts w:hint="eastAsia"/>
        </w:rPr>
        <w:t>9.1.2 参选人之间约定中选人；</w:t>
      </w:r>
    </w:p>
    <w:p w14:paraId="14E67294">
      <w:pPr>
        <w:ind w:firstLine="480"/>
        <w:rPr>
          <w:rFonts w:hint="eastAsia"/>
        </w:rPr>
      </w:pPr>
      <w:r>
        <w:rPr>
          <w:rFonts w:hint="eastAsia"/>
        </w:rPr>
        <w:t>9.1.3 参选人之间约定部分参选人放弃参选或者中选；</w:t>
      </w:r>
    </w:p>
    <w:p w14:paraId="244A6867">
      <w:pPr>
        <w:ind w:firstLine="480"/>
        <w:rPr>
          <w:rFonts w:hint="eastAsia"/>
        </w:rPr>
      </w:pPr>
      <w:r>
        <w:rPr>
          <w:rFonts w:hint="eastAsia"/>
        </w:rPr>
        <w:t>9.1.4 属于同一集团、协会、商会等组织成员的参选人按照该组织要求协同参选；</w:t>
      </w:r>
    </w:p>
    <w:p w14:paraId="733C3476">
      <w:pPr>
        <w:ind w:firstLine="480"/>
        <w:rPr>
          <w:rFonts w:hint="eastAsia"/>
        </w:rPr>
      </w:pPr>
      <w:r>
        <w:rPr>
          <w:rFonts w:hint="eastAsia"/>
        </w:rPr>
        <w:t>9.1.5 参选人之间为谋取中选或者排斥特定参选人而采取的其他联合行动。</w:t>
      </w:r>
    </w:p>
    <w:p w14:paraId="51A548BB">
      <w:pPr>
        <w:ind w:firstLine="480"/>
        <w:rPr>
          <w:rFonts w:hint="eastAsia"/>
        </w:rPr>
      </w:pPr>
      <w:r>
        <w:rPr>
          <w:rFonts w:hint="eastAsia"/>
        </w:rPr>
        <w:t>9.2 有下列情形之一的，视为参选人相互串通参选：</w:t>
      </w:r>
    </w:p>
    <w:p w14:paraId="645C0D5F">
      <w:pPr>
        <w:ind w:firstLine="480"/>
        <w:rPr>
          <w:rFonts w:hint="eastAsia"/>
        </w:rPr>
      </w:pPr>
      <w:r>
        <w:rPr>
          <w:rFonts w:hint="eastAsia"/>
        </w:rPr>
        <w:t>9.2.1 不同参选人的参选文件由同一单位或者个人编制；</w:t>
      </w:r>
    </w:p>
    <w:p w14:paraId="12656C50">
      <w:pPr>
        <w:ind w:firstLine="480"/>
        <w:rPr>
          <w:rFonts w:hint="eastAsia"/>
        </w:rPr>
      </w:pPr>
      <w:r>
        <w:rPr>
          <w:rFonts w:hint="eastAsia"/>
        </w:rPr>
        <w:t>9.2.2 不同参选人委托同一单位或者个人办理参选事宜；</w:t>
      </w:r>
    </w:p>
    <w:p w14:paraId="51F6D00F">
      <w:pPr>
        <w:ind w:firstLine="480"/>
        <w:rPr>
          <w:rFonts w:hint="eastAsia"/>
        </w:rPr>
      </w:pPr>
      <w:r>
        <w:rPr>
          <w:rFonts w:hint="eastAsia"/>
        </w:rPr>
        <w:t>9.2.3 不同参选人的参选文件载明的项目管理成员为同一人；</w:t>
      </w:r>
    </w:p>
    <w:p w14:paraId="73627826">
      <w:pPr>
        <w:ind w:firstLine="480"/>
        <w:rPr>
          <w:rFonts w:hint="eastAsia"/>
        </w:rPr>
      </w:pPr>
      <w:r>
        <w:rPr>
          <w:rFonts w:hint="eastAsia"/>
        </w:rPr>
        <w:t>9.2.4 不同参选人的参选文件相互混装；</w:t>
      </w:r>
    </w:p>
    <w:p w14:paraId="2F5457E0">
      <w:pPr>
        <w:ind w:firstLine="480"/>
        <w:rPr>
          <w:rFonts w:hint="eastAsia"/>
        </w:rPr>
      </w:pPr>
      <w:r>
        <w:rPr>
          <w:rFonts w:hint="eastAsia"/>
        </w:rPr>
        <w:t>9.2.5 不同参选人的参选保证金从同一单位或者个人的账户转出。</w:t>
      </w:r>
    </w:p>
    <w:p w14:paraId="0CA82D96">
      <w:pPr>
        <w:ind w:firstLine="480"/>
        <w:rPr>
          <w:rFonts w:hint="eastAsia"/>
        </w:rPr>
      </w:pPr>
      <w:r>
        <w:rPr>
          <w:rFonts w:hint="eastAsia"/>
        </w:rPr>
        <w:t>9.3 使用通过受让或者租借等方式获取的资格、资质证书参选的，属于以他人名义参选。</w:t>
      </w:r>
    </w:p>
    <w:p w14:paraId="59822705">
      <w:pPr>
        <w:ind w:firstLine="480"/>
        <w:rPr>
          <w:rFonts w:hint="eastAsia"/>
        </w:rPr>
      </w:pPr>
      <w:r>
        <w:rPr>
          <w:rFonts w:hint="eastAsia"/>
        </w:rPr>
        <w:t>9.4 参选人有下列情形之一的，属于弄虚作假的行为：</w:t>
      </w:r>
    </w:p>
    <w:p w14:paraId="62B04EEE">
      <w:pPr>
        <w:ind w:firstLine="480"/>
        <w:rPr>
          <w:rFonts w:hint="eastAsia"/>
        </w:rPr>
      </w:pPr>
      <w:r>
        <w:rPr>
          <w:rFonts w:hint="eastAsia"/>
        </w:rPr>
        <w:t>9.4.1 使用伪造、变造的许可证件；</w:t>
      </w:r>
    </w:p>
    <w:p w14:paraId="388B0A32">
      <w:pPr>
        <w:ind w:firstLine="480"/>
        <w:rPr>
          <w:rFonts w:hint="eastAsia"/>
        </w:rPr>
      </w:pPr>
      <w:r>
        <w:rPr>
          <w:rFonts w:hint="eastAsia"/>
        </w:rPr>
        <w:t>9.4.2 提供虚假的财务状况或者虚假业绩；</w:t>
      </w:r>
    </w:p>
    <w:p w14:paraId="0EC8BF17">
      <w:pPr>
        <w:ind w:firstLine="480"/>
        <w:rPr>
          <w:rFonts w:hint="eastAsia"/>
        </w:rPr>
      </w:pPr>
      <w:r>
        <w:rPr>
          <w:rFonts w:hint="eastAsia"/>
        </w:rPr>
        <w:t>9.4.3 提供虚假的项目负责人或者主要技术人员简历、劳动关系证明；</w:t>
      </w:r>
    </w:p>
    <w:p w14:paraId="51FE39D3">
      <w:pPr>
        <w:ind w:firstLine="480"/>
        <w:rPr>
          <w:rFonts w:hint="eastAsia"/>
        </w:rPr>
      </w:pPr>
      <w:r>
        <w:rPr>
          <w:rFonts w:hint="eastAsia"/>
        </w:rPr>
        <w:t>9.4.4 提供虚假的信用状况；</w:t>
      </w:r>
    </w:p>
    <w:p w14:paraId="2704D906">
      <w:pPr>
        <w:ind w:firstLine="480"/>
        <w:rPr>
          <w:rFonts w:hint="eastAsia"/>
        </w:rPr>
      </w:pPr>
      <w:r>
        <w:rPr>
          <w:rFonts w:hint="eastAsia"/>
        </w:rPr>
        <w:t>9.4.5 其它弄虚作假的行为。</w:t>
      </w:r>
    </w:p>
    <w:p w14:paraId="2652B841">
      <w:pPr>
        <w:ind w:firstLine="480"/>
        <w:rPr>
          <w:rFonts w:hint="eastAsia"/>
        </w:rPr>
      </w:pPr>
      <w:r>
        <w:rPr>
          <w:rFonts w:hint="eastAsia"/>
        </w:rPr>
        <w:t>针对以上情况，比选人有权没收参选人的参选保证金，并保留进一步追究由此带来损失的权利。</w:t>
      </w:r>
    </w:p>
    <w:p w14:paraId="7A31CF24">
      <w:pPr>
        <w:pStyle w:val="3"/>
      </w:pPr>
      <w:bookmarkStart w:id="43" w:name="_Toc89675169"/>
      <w:r>
        <w:rPr>
          <w:rFonts w:hint="eastAsia"/>
        </w:rPr>
        <w:t>10. 提问、质疑、投诉</w:t>
      </w:r>
    </w:p>
    <w:p w14:paraId="32E2D584">
      <w:pPr>
        <w:ind w:firstLine="480"/>
        <w:rPr>
          <w:rFonts w:hint="eastAsia"/>
        </w:rPr>
      </w:pPr>
      <w:r>
        <w:rPr>
          <w:rFonts w:hint="eastAsia"/>
        </w:rPr>
        <w:t>10.1 补遗内容可能影响参选文件编制的，须在参选截止时间3日前发布，发布时间至参选截止时间不足3日的，须相应延后参选截止时间。</w:t>
      </w:r>
    </w:p>
    <w:p w14:paraId="40F7028C">
      <w:pPr>
        <w:ind w:firstLine="480"/>
        <w:rPr>
          <w:rFonts w:hint="eastAsia"/>
        </w:rPr>
      </w:pPr>
      <w:r>
        <w:rPr>
          <w:rFonts w:hint="eastAsia"/>
        </w:rPr>
        <w:t>10.2 参选人对比选文件和答疑补遗有质疑的，应当在参选截止时间3日前，以书面形式通知比选人。比选人认为有必要对参选人所提问题进行答复或对比选文件进行补充时，将答复内容以补遗的形式发布。</w:t>
      </w:r>
    </w:p>
    <w:p w14:paraId="2FB3C016">
      <w:pPr>
        <w:ind w:firstLine="480"/>
        <w:rPr>
          <w:rFonts w:hint="eastAsia"/>
        </w:rPr>
      </w:pPr>
      <w:r>
        <w:rPr>
          <w:rFonts w:hint="eastAsia"/>
        </w:rPr>
        <w:t>10.3 参选人对公示的中选结果有质疑，参选人需在公示期内以书面形式向比选人提出质疑。比选人认为有必要对参选人所提质疑进行答复时，将以书面形式进行答复。</w:t>
      </w:r>
    </w:p>
    <w:p w14:paraId="5E2793A8">
      <w:pPr>
        <w:ind w:firstLine="480"/>
        <w:rPr>
          <w:rFonts w:hint="eastAsia"/>
        </w:rPr>
      </w:pPr>
      <w:r>
        <w:rPr>
          <w:rFonts w:hint="eastAsia"/>
        </w:rPr>
        <w:t>10.4 参选人对比选人的答复不满意或者有质疑，可向本行纪检监察部投诉。</w:t>
      </w:r>
    </w:p>
    <w:p w14:paraId="78FA7311">
      <w:pPr>
        <w:ind w:firstLine="480"/>
        <w:rPr>
          <w:rFonts w:hint="eastAsia"/>
        </w:rPr>
      </w:pPr>
      <w:r>
        <w:rPr>
          <w:rFonts w:hint="eastAsia"/>
        </w:rPr>
        <w:t>采购质疑邮箱：</w:t>
      </w:r>
      <w:r>
        <w:t>sx.jcb@ccqtgb.com</w:t>
      </w:r>
    </w:p>
    <w:p w14:paraId="4F3BB1A9">
      <w:pPr>
        <w:ind w:firstLine="480"/>
        <w:rPr>
          <w:rFonts w:hint="eastAsia"/>
        </w:rPr>
      </w:pPr>
      <w:r>
        <w:rPr>
          <w:rFonts w:hint="eastAsia"/>
        </w:rPr>
        <w:t>采购投诉邮箱：</w:t>
      </w:r>
      <w:bookmarkStart w:id="44" w:name="_Hlk74215856"/>
      <w:r>
        <w:rPr>
          <w:rFonts w:hint="eastAsia"/>
        </w:rPr>
        <w:t>sxyhjjz@</w:t>
      </w:r>
      <w:r>
        <w:t>ccqtgb</w:t>
      </w:r>
      <w:r>
        <w:rPr>
          <w:rFonts w:hint="eastAsia"/>
        </w:rPr>
        <w:t>.com</w:t>
      </w:r>
      <w:bookmarkEnd w:id="44"/>
    </w:p>
    <w:p w14:paraId="5269D3E4">
      <w:pPr>
        <w:pStyle w:val="3"/>
      </w:pPr>
      <w:bookmarkStart w:id="45" w:name="_Toc275199618"/>
      <w:bookmarkStart w:id="46" w:name="_Toc89675157"/>
      <w:bookmarkStart w:id="47" w:name="_Toc11439"/>
      <w:bookmarkStart w:id="48" w:name="_Toc440628924"/>
      <w:bookmarkStart w:id="49" w:name="_Toc15059431"/>
      <w:r>
        <w:rPr>
          <w:rFonts w:hint="eastAsia"/>
        </w:rPr>
        <w:t>11. 无效参选条款</w:t>
      </w:r>
      <w:bookmarkEnd w:id="45"/>
      <w:bookmarkEnd w:id="46"/>
      <w:bookmarkEnd w:id="47"/>
      <w:bookmarkEnd w:id="48"/>
      <w:bookmarkEnd w:id="49"/>
    </w:p>
    <w:p w14:paraId="07C62775">
      <w:pPr>
        <w:ind w:firstLine="480"/>
        <w:rPr>
          <w:rFonts w:hint="eastAsia"/>
        </w:rPr>
      </w:pPr>
      <w:r>
        <w:rPr>
          <w:rFonts w:hint="eastAsia"/>
        </w:rPr>
        <w:t>参选人或其参选文件出现下列情况之一者，应为无效参选：</w:t>
      </w:r>
    </w:p>
    <w:p w14:paraId="59E74EDD">
      <w:pPr>
        <w:ind w:firstLine="480"/>
        <w:rPr>
          <w:rFonts w:hint="eastAsia"/>
        </w:rPr>
      </w:pPr>
      <w:r>
        <w:rPr>
          <w:rFonts w:hint="eastAsia"/>
        </w:rPr>
        <w:t xml:space="preserve">11.1 </w:t>
      </w:r>
      <w:r>
        <w:t>参选人未按比选文件规定提交足额参选保证金的</w:t>
      </w:r>
      <w:r>
        <w:rPr>
          <w:rFonts w:hint="eastAsia"/>
        </w:rPr>
        <w:t>。</w:t>
      </w:r>
    </w:p>
    <w:p w14:paraId="41D57C8B">
      <w:pPr>
        <w:ind w:firstLine="480"/>
        <w:rPr>
          <w:rFonts w:hint="eastAsia"/>
        </w:rPr>
      </w:pPr>
      <w:r>
        <w:rPr>
          <w:rFonts w:hint="eastAsia"/>
        </w:rPr>
        <w:t xml:space="preserve">11.2 </w:t>
      </w:r>
      <w:r>
        <w:t>参选人未通过资格性检查，参选文件未通过符合性检查或参选文件经证实存在弄虚作假的</w:t>
      </w:r>
      <w:r>
        <w:rPr>
          <w:rFonts w:hint="eastAsia"/>
        </w:rPr>
        <w:t>。</w:t>
      </w:r>
    </w:p>
    <w:p w14:paraId="30662649">
      <w:pPr>
        <w:ind w:firstLine="480"/>
        <w:rPr>
          <w:rFonts w:hint="eastAsia"/>
        </w:rPr>
      </w:pPr>
      <w:r>
        <w:rPr>
          <w:rFonts w:hint="eastAsia"/>
        </w:rPr>
        <w:t>11.3 参选人超出其营业执照或事业单位法人证书上经营范围（业务范围）参选的。</w:t>
      </w:r>
    </w:p>
    <w:p w14:paraId="07F9CCB7">
      <w:pPr>
        <w:ind w:firstLine="480"/>
        <w:rPr>
          <w:rFonts w:hint="eastAsia"/>
        </w:rPr>
      </w:pPr>
      <w:r>
        <w:rPr>
          <w:rFonts w:hint="eastAsia"/>
        </w:rPr>
        <w:t>11.4 单位负责人为同一人或者存在直接控股、管理关系的不同参选人，不得参加同一合同项下的采购活动。</w:t>
      </w:r>
    </w:p>
    <w:p w14:paraId="7C45728B">
      <w:pPr>
        <w:ind w:firstLine="480"/>
        <w:rPr>
          <w:rFonts w:hint="eastAsia"/>
        </w:rPr>
      </w:pPr>
      <w:r>
        <w:rPr>
          <w:rFonts w:hint="eastAsia"/>
        </w:rPr>
        <w:t xml:space="preserve">11.5 </w:t>
      </w:r>
      <w:r>
        <w:t>同一分包的软件，制造商参与参选，再委托代理商参与参选的</w:t>
      </w:r>
      <w:r>
        <w:rPr>
          <w:rFonts w:hint="eastAsia"/>
        </w:rPr>
        <w:t>。</w:t>
      </w:r>
    </w:p>
    <w:p w14:paraId="450FE809">
      <w:pPr>
        <w:ind w:firstLine="480"/>
        <w:rPr>
          <w:rFonts w:hint="eastAsia"/>
        </w:rPr>
      </w:pPr>
      <w:r>
        <w:rPr>
          <w:rFonts w:hint="eastAsia"/>
        </w:rPr>
        <w:t xml:space="preserve">11.6 </w:t>
      </w:r>
      <w:r>
        <w:t>参选文件不满足比选文件第</w:t>
      </w:r>
      <w:r>
        <w:rPr>
          <w:rFonts w:hint="eastAsia"/>
        </w:rPr>
        <w:t>六</w:t>
      </w:r>
      <w:r>
        <w:t>章参选文件格式中所规定签字、盖章的</w:t>
      </w:r>
      <w:r>
        <w:rPr>
          <w:rFonts w:hint="eastAsia"/>
        </w:rPr>
        <w:t>。</w:t>
      </w:r>
    </w:p>
    <w:p w14:paraId="58CF90CD">
      <w:pPr>
        <w:ind w:firstLine="480"/>
        <w:rPr>
          <w:rFonts w:hint="eastAsia"/>
        </w:rPr>
      </w:pPr>
      <w:r>
        <w:rPr>
          <w:rFonts w:hint="eastAsia"/>
        </w:rPr>
        <w:t xml:space="preserve">11.7 </w:t>
      </w:r>
      <w:r>
        <w:t>参选文件出现多个参选方案或参选报价的</w:t>
      </w:r>
      <w:r>
        <w:rPr>
          <w:rFonts w:hint="eastAsia"/>
        </w:rPr>
        <w:t>。</w:t>
      </w:r>
    </w:p>
    <w:p w14:paraId="1CC6813B">
      <w:pPr>
        <w:ind w:firstLine="480"/>
        <w:rPr>
          <w:rFonts w:hint="eastAsia"/>
        </w:rPr>
      </w:pPr>
      <w:r>
        <w:rPr>
          <w:rFonts w:hint="eastAsia"/>
        </w:rPr>
        <w:t xml:space="preserve">11.8 </w:t>
      </w:r>
      <w:r>
        <w:t>参选报价超出最高限价的</w:t>
      </w:r>
      <w:r>
        <w:rPr>
          <w:rFonts w:hint="eastAsia"/>
        </w:rPr>
        <w:t>。</w:t>
      </w:r>
    </w:p>
    <w:p w14:paraId="5D7DB243">
      <w:pPr>
        <w:ind w:firstLine="480"/>
        <w:rPr>
          <w:rFonts w:hint="eastAsia"/>
        </w:rPr>
      </w:pPr>
      <w:r>
        <w:rPr>
          <w:rFonts w:hint="eastAsia"/>
        </w:rPr>
        <w:t xml:space="preserve">11.9 </w:t>
      </w:r>
      <w:r>
        <w:t>参选文件含有违反国家法律、法规的内容，或附有比选人不能接受的条件的。</w:t>
      </w:r>
    </w:p>
    <w:p w14:paraId="737986B4">
      <w:pPr>
        <w:ind w:firstLine="480"/>
        <w:rPr>
          <w:rFonts w:hint="eastAsia"/>
        </w:rPr>
      </w:pPr>
      <w:r>
        <w:rPr>
          <w:rFonts w:hint="eastAsia"/>
        </w:rPr>
        <w:t>11.10 出现影响比选公正的违法、违规行为的。</w:t>
      </w:r>
    </w:p>
    <w:p w14:paraId="4A69CE19">
      <w:pPr>
        <w:ind w:firstLine="480"/>
        <w:rPr>
          <w:rFonts w:hint="eastAsia"/>
        </w:rPr>
      </w:pPr>
      <w:r>
        <w:rPr>
          <w:rFonts w:hint="eastAsia"/>
        </w:rPr>
        <w:t>11.11 与比选人、评审专家、其他参选人恶意串通。</w:t>
      </w:r>
    </w:p>
    <w:p w14:paraId="36B49F21">
      <w:pPr>
        <w:ind w:firstLine="480"/>
        <w:rPr>
          <w:rFonts w:hint="eastAsia"/>
        </w:rPr>
      </w:pPr>
      <w:r>
        <w:rPr>
          <w:rFonts w:hint="eastAsia"/>
        </w:rPr>
        <w:t>11.12 参选法人发生合并、分立、破产等重大变化后，不再具备比选要求的资格条件的。</w:t>
      </w:r>
    </w:p>
    <w:p w14:paraId="7A2FA3C3">
      <w:pPr>
        <w:ind w:firstLine="480"/>
        <w:rPr>
          <w:rFonts w:hint="eastAsia"/>
        </w:rPr>
      </w:pPr>
      <w:r>
        <w:rPr>
          <w:rFonts w:hint="eastAsia"/>
        </w:rPr>
        <w:t>11.13 提供虚假材料谋取中选资格的。</w:t>
      </w:r>
    </w:p>
    <w:p w14:paraId="04D03274">
      <w:pPr>
        <w:ind w:firstLine="480"/>
        <w:rPr>
          <w:rFonts w:hint="eastAsia"/>
        </w:rPr>
      </w:pPr>
      <w:r>
        <w:rPr>
          <w:rFonts w:hint="eastAsia"/>
        </w:rPr>
        <w:t>11.14 参选文件含有比选人不能接受的附件条件的。</w:t>
      </w:r>
    </w:p>
    <w:p w14:paraId="1F669C94">
      <w:pPr>
        <w:pStyle w:val="3"/>
      </w:pPr>
      <w:r>
        <w:rPr>
          <w:rFonts w:hint="eastAsia"/>
        </w:rPr>
        <w:t>12. 比选失败情形</w:t>
      </w:r>
    </w:p>
    <w:p w14:paraId="1794E85E">
      <w:pPr>
        <w:snapToGrid w:val="0"/>
        <w:ind w:firstLine="480"/>
        <w:rPr>
          <w:rFonts w:hint="eastAsia"/>
        </w:rPr>
      </w:pPr>
      <w:r>
        <w:rPr>
          <w:rFonts w:hint="eastAsia"/>
        </w:rPr>
        <w:t>出现以下情形本次比选失败：</w:t>
      </w:r>
    </w:p>
    <w:p w14:paraId="1133460E">
      <w:pPr>
        <w:snapToGrid w:val="0"/>
        <w:ind w:firstLine="480"/>
        <w:rPr>
          <w:rFonts w:hint="eastAsia"/>
        </w:rPr>
      </w:pPr>
      <w:r>
        <w:rPr>
          <w:rFonts w:hint="eastAsia"/>
        </w:rPr>
        <w:t>12.1 参选截止时间止，参选人少于2个的。</w:t>
      </w:r>
    </w:p>
    <w:p w14:paraId="0F9514B8">
      <w:pPr>
        <w:ind w:firstLine="480"/>
        <w:rPr>
          <w:rFonts w:hint="eastAsia"/>
        </w:rPr>
      </w:pPr>
      <w:r>
        <w:rPr>
          <w:rFonts w:hint="eastAsia"/>
        </w:rPr>
        <w:t>12.2 经评审委员会评审后否决所有参选的。</w:t>
      </w:r>
    </w:p>
    <w:p w14:paraId="47FD3D3F">
      <w:pPr>
        <w:pStyle w:val="3"/>
      </w:pPr>
      <w:r>
        <w:rPr>
          <w:rFonts w:hint="eastAsia"/>
        </w:rPr>
        <w:t>13. 终止</w:t>
      </w:r>
      <w:r>
        <w:t>比选</w:t>
      </w:r>
      <w:bookmarkEnd w:id="43"/>
    </w:p>
    <w:p w14:paraId="69F260A1">
      <w:pPr>
        <w:ind w:firstLine="480"/>
        <w:rPr>
          <w:rFonts w:hint="eastAsia"/>
        </w:rPr>
      </w:pPr>
      <w:r>
        <w:rPr>
          <w:rFonts w:hint="eastAsia"/>
        </w:rPr>
        <w:t>13.1 因情况发生变化或其他原因造成该项目取消的，本次比选自动终止，双方互不承担责任，比选人无息退还参选保证金。</w:t>
      </w:r>
    </w:p>
    <w:p w14:paraId="3E6835A1">
      <w:pPr>
        <w:ind w:firstLine="480"/>
        <w:rPr>
          <w:rFonts w:hint="eastAsia"/>
        </w:rPr>
      </w:pPr>
      <w:r>
        <w:rPr>
          <w:rFonts w:hint="eastAsia"/>
        </w:rPr>
        <w:t>13.2 签订合同之前，比选人发现中选候选人经营、财务状况发生较大变化或存在违法行为，比选人认为可能影响其履约能力的，比选人可废除中选人或中选候选人资格。</w:t>
      </w:r>
    </w:p>
    <w:p w14:paraId="11C90018">
      <w:pPr>
        <w:pStyle w:val="3"/>
      </w:pPr>
      <w:r>
        <w:rPr>
          <w:rFonts w:hint="eastAsia"/>
        </w:rPr>
        <w:t xml:space="preserve">14. </w:t>
      </w:r>
      <w:r>
        <w:t>参选</w:t>
      </w:r>
      <w:r>
        <w:rPr>
          <w:rFonts w:hint="eastAsia"/>
        </w:rPr>
        <w:t>费用</w:t>
      </w:r>
    </w:p>
    <w:p w14:paraId="64FF70E1">
      <w:pPr>
        <w:ind w:firstLine="480"/>
        <w:rPr>
          <w:rFonts w:hint="eastAsia"/>
        </w:rPr>
      </w:pPr>
      <w:r>
        <w:rPr>
          <w:rFonts w:hint="eastAsia"/>
        </w:rPr>
        <w:t>参选人参与本比选项目时，一切与参选有关的费用均由参选人自理。</w:t>
      </w:r>
    </w:p>
    <w:p w14:paraId="0F2EF463">
      <w:pPr>
        <w:bidi w:val="0"/>
        <w:rPr>
          <w:color w:val="auto"/>
          <w:highlight w:val="none"/>
        </w:rPr>
      </w:pPr>
      <w:r>
        <w:rPr>
          <w:rFonts w:hint="eastAsia"/>
          <w:color w:val="auto"/>
          <w:highlight w:val="none"/>
        </w:rPr>
        <w:t>本项目平台服务费为</w:t>
      </w:r>
      <w:r>
        <w:rPr>
          <w:rFonts w:hint="eastAsia"/>
          <w:color w:val="auto"/>
          <w:highlight w:val="none"/>
          <w:u w:val="single"/>
          <w:lang w:val="en-US" w:eastAsia="zh-CN"/>
        </w:rPr>
        <w:t xml:space="preserve"> 8000 </w:t>
      </w:r>
      <w:r>
        <w:rPr>
          <w:rFonts w:hint="eastAsia"/>
          <w:color w:val="auto"/>
          <w:highlight w:val="none"/>
          <w:lang w:val="en-US" w:eastAsia="zh-CN"/>
        </w:rPr>
        <w:t>元</w:t>
      </w:r>
      <w:r>
        <w:rPr>
          <w:rFonts w:hint="eastAsia"/>
          <w:color w:val="auto"/>
          <w:highlight w:val="none"/>
        </w:rPr>
        <w:t>，由中选人向重庆联合产权交易所集团股份有限公司支付。中选人应在领取中选通知书时一次性缴纳</w:t>
      </w:r>
      <w:r>
        <w:rPr>
          <w:rFonts w:hint="eastAsia"/>
          <w:color w:val="auto"/>
          <w:highlight w:val="none"/>
          <w:lang w:eastAsia="zh-CN"/>
        </w:rPr>
        <w:t>，请各参选人综合考虑进行报价。</w:t>
      </w:r>
    </w:p>
    <w:p w14:paraId="0C80EB16">
      <w:pPr>
        <w:widowControl/>
        <w:ind w:firstLine="480"/>
        <w:jc w:val="left"/>
        <w:rPr>
          <w:rFonts w:ascii="宋体" w:hAnsi="宋体" w:cs="Cambria"/>
          <w:snapToGrid w:val="0"/>
          <w:kern w:val="0"/>
          <w:szCs w:val="28"/>
        </w:rPr>
      </w:pPr>
      <w:r>
        <w:rPr>
          <w:rFonts w:ascii="宋体" w:hAnsi="宋体" w:cs="Cambria"/>
          <w:snapToGrid w:val="0"/>
          <w:kern w:val="0"/>
          <w:szCs w:val="28"/>
        </w:rPr>
        <w:br w:type="page"/>
      </w:r>
    </w:p>
    <w:p w14:paraId="51E2F893">
      <w:pPr>
        <w:pStyle w:val="2"/>
      </w:pPr>
      <w:bookmarkStart w:id="50" w:name="_Toc25111"/>
      <w:bookmarkStart w:id="51" w:name="_Toc7704"/>
      <w:bookmarkStart w:id="52" w:name="_Toc164"/>
      <w:r>
        <w:rPr>
          <w:rFonts w:hint="eastAsia"/>
        </w:rPr>
        <w:t>第三章 项目要求</w:t>
      </w:r>
      <w:bookmarkEnd w:id="50"/>
      <w:bookmarkEnd w:id="51"/>
      <w:bookmarkEnd w:id="52"/>
    </w:p>
    <w:p w14:paraId="23FF83B6">
      <w:pPr>
        <w:pStyle w:val="3"/>
      </w:pPr>
      <w:r>
        <w:rPr>
          <w:rFonts w:hint="eastAsia"/>
        </w:rPr>
        <w:t>1. 总体要求</w:t>
      </w:r>
    </w:p>
    <w:p w14:paraId="0D762255">
      <w:pPr>
        <w:ind w:firstLine="480"/>
        <w:rPr>
          <w:rFonts w:hint="eastAsia"/>
        </w:rPr>
      </w:pPr>
      <w:r>
        <w:rPr>
          <w:rFonts w:hint="eastAsia"/>
        </w:rPr>
        <w:t>1.1 参选人对轨道交通1、3号线站台车到提醒冠名广告进行报价。</w:t>
      </w:r>
    </w:p>
    <w:p w14:paraId="37895E8B">
      <w:pPr>
        <w:ind w:firstLine="480"/>
        <w:rPr>
          <w:rFonts w:hint="eastAsia"/>
        </w:rPr>
      </w:pPr>
      <w:r>
        <w:rPr>
          <w:rFonts w:hint="eastAsia"/>
        </w:rPr>
        <w:t>1.2 参选人应具有强大的售后服务体系，保障广告媒体的发布和日常维修保养，对广告进行定期巡检、监测【提供服务承诺函】</w:t>
      </w:r>
    </w:p>
    <w:p w14:paraId="6EC3D4FC">
      <w:pPr>
        <w:pStyle w:val="3"/>
      </w:pPr>
      <w:r>
        <w:rPr>
          <w:rFonts w:hint="eastAsia"/>
        </w:rPr>
        <w:t>2. 广告具体情况</w:t>
      </w:r>
    </w:p>
    <w:p w14:paraId="5537F5A7">
      <w:pPr>
        <w:ind w:firstLine="480"/>
      </w:pPr>
      <w:r>
        <w:rPr>
          <w:rFonts w:hint="eastAsia"/>
        </w:rPr>
        <w:t>参选</w:t>
      </w:r>
      <w:r>
        <w:t>的广告应满足一下要求</w:t>
      </w:r>
      <w:r>
        <w:rPr>
          <w:rFonts w:hint="eastAsia"/>
        </w:rPr>
        <w:t>：</w:t>
      </w:r>
    </w:p>
    <w:tbl>
      <w:tblPr>
        <w:tblStyle w:val="15"/>
        <w:tblW w:w="92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73"/>
        <w:gridCol w:w="5252"/>
        <w:gridCol w:w="1985"/>
      </w:tblGrid>
      <w:tr w14:paraId="2BE0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blHeader/>
          <w:jc w:val="center"/>
        </w:trPr>
        <w:tc>
          <w:tcPr>
            <w:tcW w:w="1973" w:type="dxa"/>
            <w:shd w:val="clear" w:color="auto" w:fill="auto"/>
            <w:vAlign w:val="center"/>
          </w:tcPr>
          <w:p w14:paraId="1576A5F0">
            <w:pPr>
              <w:widowControl/>
              <w:autoSpaceDE/>
              <w:autoSpaceDN/>
              <w:spacing w:line="276" w:lineRule="auto"/>
              <w:ind w:firstLine="0" w:firstLineChars="0"/>
              <w:jc w:val="center"/>
              <w:textAlignment w:val="center"/>
              <w:rPr>
                <w:rFonts w:cs="Times New Roman" w:asciiTheme="minorEastAsia" w:hAnsiTheme="minorEastAsia" w:eastAsiaTheme="minorEastAsia"/>
                <w:b/>
                <w:color w:val="000000"/>
                <w:szCs w:val="24"/>
              </w:rPr>
            </w:pPr>
            <w:r>
              <w:rPr>
                <w:rFonts w:cs="Times New Roman" w:asciiTheme="minorEastAsia" w:hAnsiTheme="minorEastAsia" w:eastAsiaTheme="minorEastAsia"/>
                <w:b/>
                <w:color w:val="000000"/>
                <w:kern w:val="0"/>
                <w:szCs w:val="24"/>
              </w:rPr>
              <w:t>媒体形式</w:t>
            </w:r>
          </w:p>
        </w:tc>
        <w:tc>
          <w:tcPr>
            <w:tcW w:w="5252" w:type="dxa"/>
            <w:vAlign w:val="center"/>
          </w:tcPr>
          <w:p w14:paraId="1E59AA9A">
            <w:pPr>
              <w:widowControl/>
              <w:autoSpaceDE/>
              <w:autoSpaceDN/>
              <w:spacing w:line="276" w:lineRule="auto"/>
              <w:ind w:firstLine="0" w:firstLineChars="0"/>
              <w:jc w:val="center"/>
              <w:textAlignment w:val="center"/>
              <w:rPr>
                <w:rFonts w:cs="Times New Roman" w:asciiTheme="minorEastAsia" w:hAnsiTheme="minorEastAsia" w:eastAsiaTheme="minorEastAsia"/>
                <w:b/>
                <w:color w:val="000000"/>
                <w:kern w:val="0"/>
                <w:szCs w:val="24"/>
              </w:rPr>
            </w:pPr>
            <w:r>
              <w:rPr>
                <w:rFonts w:cs="Times New Roman" w:asciiTheme="minorEastAsia" w:hAnsiTheme="minorEastAsia" w:eastAsiaTheme="minorEastAsia"/>
                <w:b/>
                <w:color w:val="000000"/>
                <w:kern w:val="0"/>
                <w:szCs w:val="24"/>
              </w:rPr>
              <w:t>站点及屏幕数量</w:t>
            </w:r>
          </w:p>
        </w:tc>
        <w:tc>
          <w:tcPr>
            <w:tcW w:w="1985" w:type="dxa"/>
            <w:shd w:val="clear" w:color="auto" w:fill="auto"/>
            <w:vAlign w:val="center"/>
          </w:tcPr>
          <w:p w14:paraId="138E3E65">
            <w:pPr>
              <w:widowControl/>
              <w:autoSpaceDE/>
              <w:autoSpaceDN/>
              <w:spacing w:line="276" w:lineRule="auto"/>
              <w:ind w:firstLine="0" w:firstLineChars="0"/>
              <w:jc w:val="center"/>
              <w:textAlignment w:val="center"/>
              <w:rPr>
                <w:rFonts w:cs="Times New Roman" w:asciiTheme="minorEastAsia" w:hAnsiTheme="minorEastAsia" w:eastAsiaTheme="minorEastAsia"/>
                <w:b/>
                <w:color w:val="000000"/>
                <w:szCs w:val="24"/>
              </w:rPr>
            </w:pPr>
            <w:r>
              <w:rPr>
                <w:rFonts w:cs="Times New Roman" w:asciiTheme="minorEastAsia" w:hAnsiTheme="minorEastAsia" w:eastAsiaTheme="minorEastAsia"/>
                <w:b/>
                <w:color w:val="000000"/>
                <w:kern w:val="0"/>
                <w:szCs w:val="24"/>
              </w:rPr>
              <w:t>频次</w:t>
            </w:r>
          </w:p>
        </w:tc>
      </w:tr>
      <w:tr w14:paraId="1A204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1" w:hRule="atLeast"/>
          <w:jc w:val="center"/>
        </w:trPr>
        <w:tc>
          <w:tcPr>
            <w:tcW w:w="1973" w:type="dxa"/>
            <w:shd w:val="clear" w:color="auto" w:fill="auto"/>
            <w:vAlign w:val="center"/>
          </w:tcPr>
          <w:p w14:paraId="27F6CA49">
            <w:pPr>
              <w:widowControl/>
              <w:autoSpaceDE/>
              <w:autoSpaceDN/>
              <w:spacing w:line="276" w:lineRule="auto"/>
              <w:ind w:left="-14" w:leftChars="-6" w:firstLine="14" w:firstLineChars="6"/>
              <w:jc w:val="center"/>
              <w:textAlignment w:val="center"/>
              <w:rPr>
                <w:rFonts w:cs="Times New Roman" w:asciiTheme="minorEastAsia" w:hAnsiTheme="minorEastAsia" w:eastAsiaTheme="minorEastAsia"/>
                <w:bCs/>
                <w:color w:val="000000"/>
                <w:kern w:val="0"/>
                <w:szCs w:val="24"/>
              </w:rPr>
            </w:pPr>
            <w:r>
              <w:rPr>
                <w:rFonts w:cs="Times New Roman" w:asciiTheme="minorEastAsia" w:hAnsiTheme="minorEastAsia" w:eastAsiaTheme="minorEastAsia"/>
                <w:bCs/>
                <w:color w:val="000000"/>
                <w:kern w:val="0"/>
                <w:szCs w:val="24"/>
              </w:rPr>
              <w:t>轨道交通1号线站台车到提醒冠名</w:t>
            </w:r>
          </w:p>
        </w:tc>
        <w:tc>
          <w:tcPr>
            <w:tcW w:w="5252" w:type="dxa"/>
            <w:vAlign w:val="center"/>
          </w:tcPr>
          <w:p w14:paraId="4311B419">
            <w:pPr>
              <w:widowControl/>
              <w:autoSpaceDE/>
              <w:autoSpaceDN/>
              <w:spacing w:line="276" w:lineRule="auto"/>
              <w:ind w:left="144" w:leftChars="60" w:right="141" w:firstLine="1" w:firstLineChars="0"/>
              <w:jc w:val="left"/>
              <w:textAlignment w:val="center"/>
              <w:rPr>
                <w:rFonts w:cs="Times New Roman" w:asciiTheme="minorEastAsia" w:hAnsiTheme="minorEastAsia" w:eastAsiaTheme="minorEastAsia"/>
                <w:bCs/>
                <w:color w:val="000000"/>
                <w:kern w:val="0"/>
                <w:szCs w:val="24"/>
              </w:rPr>
            </w:pPr>
            <w:r>
              <w:rPr>
                <w:rFonts w:cs="Times New Roman" w:asciiTheme="minorEastAsia" w:hAnsiTheme="minorEastAsia" w:eastAsiaTheme="minorEastAsia"/>
                <w:bCs/>
                <w:color w:val="000000"/>
                <w:kern w:val="0"/>
                <w:szCs w:val="24"/>
              </w:rPr>
              <w:t>23个站点，途径渝中区、九龙坡区、沙坪坝区、璧山区等4个地区，280块LED屏</w:t>
            </w:r>
          </w:p>
        </w:tc>
        <w:tc>
          <w:tcPr>
            <w:tcW w:w="1985" w:type="dxa"/>
            <w:vMerge w:val="restart"/>
            <w:shd w:val="clear" w:color="auto" w:fill="auto"/>
            <w:vAlign w:val="center"/>
          </w:tcPr>
          <w:p w14:paraId="2A784A3D">
            <w:pPr>
              <w:widowControl/>
              <w:autoSpaceDE/>
              <w:autoSpaceDN/>
              <w:spacing w:line="276" w:lineRule="auto"/>
              <w:ind w:left="134" w:leftChars="56" w:right="144" w:rightChars="60" w:firstLine="0" w:firstLineChars="0"/>
              <w:jc w:val="center"/>
              <w:textAlignment w:val="center"/>
              <w:rPr>
                <w:rFonts w:cs="Times New Roman" w:asciiTheme="minorEastAsia" w:hAnsiTheme="minorEastAsia" w:eastAsiaTheme="minorEastAsia"/>
                <w:bCs/>
                <w:color w:val="000000"/>
                <w:kern w:val="0"/>
                <w:szCs w:val="24"/>
              </w:rPr>
            </w:pPr>
            <w:r>
              <w:rPr>
                <w:rFonts w:cs="Times New Roman" w:asciiTheme="minorEastAsia" w:hAnsiTheme="minorEastAsia" w:eastAsiaTheme="minorEastAsia"/>
                <w:bCs/>
                <w:color w:val="000000"/>
                <w:kern w:val="0"/>
                <w:szCs w:val="24"/>
              </w:rPr>
              <w:t>每天16小时滚动播出，128次以上/天，视频15秒，语音文字60-70个字</w:t>
            </w:r>
          </w:p>
        </w:tc>
      </w:tr>
      <w:tr w14:paraId="0833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1" w:hRule="atLeast"/>
          <w:jc w:val="center"/>
        </w:trPr>
        <w:tc>
          <w:tcPr>
            <w:tcW w:w="1973" w:type="dxa"/>
            <w:shd w:val="clear" w:color="auto" w:fill="auto"/>
            <w:vAlign w:val="center"/>
          </w:tcPr>
          <w:p w14:paraId="5E22E9FC">
            <w:pPr>
              <w:widowControl/>
              <w:autoSpaceDE/>
              <w:autoSpaceDN/>
              <w:spacing w:line="276" w:lineRule="auto"/>
              <w:ind w:firstLine="14" w:firstLineChars="6"/>
              <w:jc w:val="center"/>
              <w:textAlignment w:val="center"/>
              <w:rPr>
                <w:rFonts w:cs="Times New Roman" w:asciiTheme="minorEastAsia" w:hAnsiTheme="minorEastAsia" w:eastAsiaTheme="minorEastAsia"/>
                <w:bCs/>
                <w:color w:val="000000"/>
                <w:kern w:val="0"/>
                <w:szCs w:val="24"/>
              </w:rPr>
            </w:pPr>
            <w:r>
              <w:rPr>
                <w:rFonts w:cs="Times New Roman" w:asciiTheme="minorEastAsia" w:hAnsiTheme="minorEastAsia" w:eastAsiaTheme="minorEastAsia"/>
                <w:bCs/>
                <w:color w:val="000000"/>
                <w:kern w:val="0"/>
                <w:szCs w:val="24"/>
              </w:rPr>
              <w:t>轨道交通3号线站台车到提醒冠名</w:t>
            </w:r>
          </w:p>
        </w:tc>
        <w:tc>
          <w:tcPr>
            <w:tcW w:w="5252" w:type="dxa"/>
            <w:vAlign w:val="center"/>
          </w:tcPr>
          <w:p w14:paraId="29FF199C">
            <w:pPr>
              <w:widowControl/>
              <w:autoSpaceDE/>
              <w:autoSpaceDN/>
              <w:spacing w:line="276" w:lineRule="auto"/>
              <w:ind w:left="147" w:leftChars="61" w:right="139" w:rightChars="58" w:hanging="1" w:firstLineChars="0"/>
              <w:jc w:val="left"/>
              <w:textAlignment w:val="center"/>
              <w:rPr>
                <w:rFonts w:cs="Times New Roman" w:asciiTheme="minorEastAsia" w:hAnsiTheme="minorEastAsia" w:eastAsiaTheme="minorEastAsia"/>
                <w:bCs/>
                <w:color w:val="000000"/>
                <w:kern w:val="0"/>
                <w:szCs w:val="24"/>
              </w:rPr>
            </w:pPr>
            <w:r>
              <w:rPr>
                <w:rFonts w:cs="Times New Roman" w:asciiTheme="minorEastAsia" w:hAnsiTheme="minorEastAsia" w:eastAsiaTheme="minorEastAsia"/>
                <w:bCs/>
                <w:color w:val="000000"/>
                <w:kern w:val="0"/>
                <w:szCs w:val="24"/>
              </w:rPr>
              <w:t>46个站点，途径机场</w:t>
            </w:r>
            <w:r>
              <w:rPr>
                <w:rFonts w:hint="eastAsia" w:cs="Times New Roman" w:asciiTheme="minorEastAsia" w:hAnsiTheme="minorEastAsia" w:eastAsiaTheme="minorEastAsia"/>
                <w:bCs/>
                <w:color w:val="000000"/>
                <w:kern w:val="0"/>
                <w:szCs w:val="24"/>
              </w:rPr>
              <w:t>、</w:t>
            </w:r>
            <w:r>
              <w:rPr>
                <w:rFonts w:cs="Times New Roman" w:asciiTheme="minorEastAsia" w:hAnsiTheme="minorEastAsia" w:eastAsiaTheme="minorEastAsia"/>
                <w:bCs/>
                <w:color w:val="000000"/>
                <w:kern w:val="0"/>
                <w:szCs w:val="24"/>
              </w:rPr>
              <w:t>重庆北站等重要交通枢纽</w:t>
            </w:r>
            <w:r>
              <w:rPr>
                <w:rFonts w:hint="eastAsia" w:cs="Times New Roman" w:asciiTheme="minorEastAsia" w:hAnsiTheme="minorEastAsia" w:eastAsiaTheme="minorEastAsia"/>
                <w:bCs/>
                <w:color w:val="000000"/>
                <w:kern w:val="0"/>
                <w:szCs w:val="24"/>
              </w:rPr>
              <w:t>，</w:t>
            </w:r>
            <w:r>
              <w:rPr>
                <w:rFonts w:cs="Times New Roman" w:asciiTheme="minorEastAsia" w:hAnsiTheme="minorEastAsia" w:eastAsiaTheme="minorEastAsia"/>
                <w:bCs/>
                <w:color w:val="000000"/>
                <w:kern w:val="0"/>
                <w:szCs w:val="24"/>
              </w:rPr>
              <w:t>以及巴南区、南岸区、渝中区、江北区、渝北区等5个地区，742块LED屏</w:t>
            </w:r>
          </w:p>
        </w:tc>
        <w:tc>
          <w:tcPr>
            <w:tcW w:w="1985" w:type="dxa"/>
            <w:vMerge w:val="continue"/>
            <w:shd w:val="clear" w:color="auto" w:fill="auto"/>
            <w:vAlign w:val="center"/>
          </w:tcPr>
          <w:p w14:paraId="73533E0E">
            <w:pPr>
              <w:widowControl/>
              <w:autoSpaceDE/>
              <w:autoSpaceDN/>
              <w:spacing w:line="276" w:lineRule="auto"/>
              <w:ind w:firstLine="0" w:firstLineChars="0"/>
              <w:jc w:val="center"/>
              <w:textAlignment w:val="center"/>
              <w:rPr>
                <w:rFonts w:cs="Times New Roman" w:asciiTheme="minorEastAsia" w:hAnsiTheme="minorEastAsia" w:eastAsiaTheme="minorEastAsia"/>
                <w:bCs/>
                <w:color w:val="000000"/>
                <w:kern w:val="0"/>
                <w:szCs w:val="24"/>
              </w:rPr>
            </w:pPr>
          </w:p>
        </w:tc>
      </w:tr>
    </w:tbl>
    <w:p w14:paraId="7246A601">
      <w:pPr>
        <w:pStyle w:val="3"/>
      </w:pPr>
      <w:r>
        <w:rPr>
          <w:rFonts w:hint="eastAsia"/>
        </w:rPr>
        <w:t>3. 广告画面的设计、发布</w:t>
      </w:r>
    </w:p>
    <w:p w14:paraId="738D88D5">
      <w:pPr>
        <w:ind w:firstLine="480"/>
        <w:rPr>
          <w:rFonts w:hint="eastAsia"/>
        </w:rPr>
      </w:pPr>
      <w:r>
        <w:rPr>
          <w:rFonts w:hint="eastAsia"/>
        </w:rPr>
        <w:t>3</w:t>
      </w:r>
      <w:r>
        <w:t xml:space="preserve">.1 </w:t>
      </w:r>
      <w:r>
        <w:rPr>
          <w:rFonts w:hint="eastAsia"/>
        </w:rPr>
        <w:t>广告牌选定后，画面的设计、发布由中选人负责，在合同期内，承诺免费上刊服务。</w:t>
      </w:r>
    </w:p>
    <w:p w14:paraId="1855D08A">
      <w:pPr>
        <w:ind w:firstLine="480"/>
        <w:rPr>
          <w:rFonts w:hint="eastAsia"/>
        </w:rPr>
      </w:pPr>
      <w:r>
        <w:rPr>
          <w:rFonts w:hint="eastAsia"/>
        </w:rPr>
        <w:t>3</w:t>
      </w:r>
      <w:r>
        <w:t xml:space="preserve">.2 </w:t>
      </w:r>
      <w:r>
        <w:rPr>
          <w:rFonts w:hint="eastAsia"/>
        </w:rPr>
        <w:t>中选人应保证广告发布期间的维护和正常发布，定期巡检、监测，每月提供一次巡检、监测报告。</w:t>
      </w:r>
    </w:p>
    <w:p w14:paraId="38F064B5">
      <w:pPr>
        <w:ind w:firstLine="480"/>
        <w:rPr>
          <w:rFonts w:hint="eastAsia"/>
        </w:rPr>
      </w:pPr>
      <w:r>
        <w:rPr>
          <w:rFonts w:hint="eastAsia"/>
        </w:rPr>
        <w:t>【提供服务承诺函】</w:t>
      </w:r>
    </w:p>
    <w:p w14:paraId="6986382B">
      <w:pPr>
        <w:pStyle w:val="3"/>
      </w:pPr>
      <w:bookmarkStart w:id="53" w:name="_Toc89675144"/>
      <w:bookmarkStart w:id="54" w:name="_Toc15059418"/>
      <w:r>
        <w:rPr>
          <w:rFonts w:hint="eastAsia"/>
        </w:rPr>
        <w:t>4. 付款方式</w:t>
      </w:r>
    </w:p>
    <w:p w14:paraId="2D6D1D58">
      <w:pPr>
        <w:ind w:firstLine="480"/>
        <w:rPr>
          <w:rFonts w:hint="eastAsia"/>
        </w:rPr>
      </w:pPr>
      <w:r>
        <w:rPr>
          <w:rFonts w:hint="eastAsia"/>
        </w:rPr>
        <w:t>在广告发布期结束后一次性支付所有款项。</w:t>
      </w:r>
      <w:bookmarkEnd w:id="53"/>
      <w:bookmarkEnd w:id="54"/>
      <w:bookmarkStart w:id="55" w:name="_Toc15059420"/>
      <w:bookmarkStart w:id="56" w:name="_Toc89675146"/>
      <w:bookmarkStart w:id="57" w:name="_Toc432254881"/>
      <w:bookmarkStart w:id="58" w:name="_Toc1125"/>
      <w:bookmarkStart w:id="59" w:name="_Toc387826347"/>
      <w:bookmarkStart w:id="60" w:name="_Toc440628915"/>
    </w:p>
    <w:p w14:paraId="66C23507">
      <w:pPr>
        <w:pStyle w:val="3"/>
      </w:pPr>
      <w:r>
        <w:rPr>
          <w:rFonts w:hint="eastAsia"/>
        </w:rPr>
        <w:t xml:space="preserve">5. </w:t>
      </w:r>
      <w:bookmarkEnd w:id="55"/>
      <w:bookmarkEnd w:id="56"/>
      <w:bookmarkStart w:id="61" w:name="_Toc15059424"/>
      <w:bookmarkStart w:id="62" w:name="_Toc89675150"/>
      <w:r>
        <w:rPr>
          <w:rFonts w:hint="eastAsia"/>
        </w:rPr>
        <w:t>保密条款</w:t>
      </w:r>
      <w:bookmarkEnd w:id="57"/>
      <w:bookmarkEnd w:id="58"/>
      <w:bookmarkEnd w:id="59"/>
      <w:bookmarkEnd w:id="60"/>
      <w:bookmarkEnd w:id="61"/>
      <w:bookmarkEnd w:id="62"/>
    </w:p>
    <w:p w14:paraId="714D2E3C">
      <w:pPr>
        <w:pStyle w:val="4"/>
        <w:ind w:firstLine="482"/>
        <w:rPr>
          <w:rFonts w:hint="eastAsia"/>
        </w:rPr>
      </w:pPr>
      <w:r>
        <w:rPr>
          <w:rFonts w:hint="eastAsia"/>
        </w:rPr>
        <w:t>5.1 保密范围</w:t>
      </w:r>
    </w:p>
    <w:p w14:paraId="03541902">
      <w:pPr>
        <w:ind w:firstLine="480"/>
        <w:rPr>
          <w:rFonts w:hint="eastAsia"/>
        </w:rPr>
      </w:pPr>
      <w:r>
        <w:rPr>
          <w:rFonts w:hint="eastAsia"/>
        </w:rPr>
        <w:t>中选人在实施过程中接触到的比选人知识产权、经营信息等。</w:t>
      </w:r>
    </w:p>
    <w:p w14:paraId="3CF1C5B5">
      <w:pPr>
        <w:pStyle w:val="4"/>
        <w:ind w:firstLine="482"/>
        <w:rPr>
          <w:rFonts w:hint="eastAsia"/>
        </w:rPr>
      </w:pPr>
      <w:r>
        <w:rPr>
          <w:rFonts w:hint="eastAsia"/>
        </w:rPr>
        <w:t>5.2 保密责任</w:t>
      </w:r>
    </w:p>
    <w:p w14:paraId="781C1E74">
      <w:pPr>
        <w:ind w:firstLine="480"/>
        <w:rPr>
          <w:rFonts w:hint="eastAsia"/>
        </w:rPr>
      </w:pPr>
      <w:r>
        <w:rPr>
          <w:rFonts w:hint="eastAsia"/>
        </w:rPr>
        <w:t>双方互为保密资料的提供方和接受方，负有保密义务，承担保密责任。除经过双方书面同意，任何一方不得将有关内容提供给合同以外的第三人。</w:t>
      </w:r>
    </w:p>
    <w:p w14:paraId="2B7F5437">
      <w:pPr>
        <w:pStyle w:val="3"/>
      </w:pPr>
      <w:r>
        <w:t>6</w:t>
      </w:r>
      <w:r>
        <w:rPr>
          <w:rFonts w:hint="eastAsia"/>
        </w:rPr>
        <w:t>. 报价要求</w:t>
      </w:r>
    </w:p>
    <w:p w14:paraId="62C1A113">
      <w:pPr>
        <w:ind w:firstLine="480"/>
        <w:rPr>
          <w:rFonts w:hint="eastAsia"/>
        </w:rPr>
      </w:pPr>
      <w:r>
        <w:rPr>
          <w:rFonts w:hint="eastAsia"/>
        </w:rPr>
        <w:t>参选人应严格按照《参选文件格式》认真填写。</w:t>
      </w:r>
    </w:p>
    <w:p w14:paraId="291094BD">
      <w:pPr>
        <w:pStyle w:val="3"/>
      </w:pPr>
      <w:bookmarkStart w:id="63" w:name="_Toc15059426"/>
      <w:bookmarkStart w:id="64" w:name="_Toc89675152"/>
      <w:r>
        <w:t>7</w:t>
      </w:r>
      <w:r>
        <w:rPr>
          <w:rFonts w:hint="eastAsia"/>
        </w:rPr>
        <w:t>. 知识产权</w:t>
      </w:r>
      <w:bookmarkEnd w:id="63"/>
      <w:bookmarkEnd w:id="64"/>
    </w:p>
    <w:p w14:paraId="5F880DCA">
      <w:pPr>
        <w:ind w:firstLine="480"/>
        <w:rPr>
          <w:rFonts w:hint="eastAsia"/>
        </w:rPr>
      </w:pPr>
      <w:r>
        <w:rPr>
          <w:rFonts w:hint="eastAsia"/>
        </w:rPr>
        <w:t>中选人提供的产品和服务以及在项目中用到的各种工具、产品、组件、文档不得侵犯任何方的知识产权和其他合法权益。不得侵犯比选人商誉，任何人未经比选人同意不得使用比选人合法所有的知识产权，由此造成的一切损失由中选人承担赔偿责任。如无特殊说明，本项目定制开发部分知识产权归比选人所有。</w:t>
      </w:r>
    </w:p>
    <w:p w14:paraId="52B89B1D">
      <w:pPr>
        <w:pStyle w:val="3"/>
      </w:pPr>
      <w:bookmarkStart w:id="65" w:name="_Toc15059427"/>
      <w:bookmarkStart w:id="66" w:name="_Toc89675153"/>
      <w:r>
        <w:t>8</w:t>
      </w:r>
      <w:r>
        <w:rPr>
          <w:rFonts w:hint="eastAsia"/>
        </w:rPr>
        <w:t>. 其他</w:t>
      </w:r>
      <w:bookmarkEnd w:id="65"/>
      <w:bookmarkEnd w:id="66"/>
    </w:p>
    <w:p w14:paraId="1867AC0F">
      <w:pPr>
        <w:ind w:firstLine="480"/>
        <w:rPr>
          <w:rFonts w:hint="eastAsia"/>
        </w:rPr>
      </w:pPr>
      <w:r>
        <w:rPr>
          <w:rFonts w:hint="eastAsia"/>
        </w:rPr>
        <w:t>8.1 参选人必须在响应承诺函中对本章内容做出整体性响应和承诺，承诺内容必须达到本章及比选文件其他条款的要求。</w:t>
      </w:r>
    </w:p>
    <w:p w14:paraId="4B663282">
      <w:pPr>
        <w:ind w:firstLine="480"/>
        <w:rPr>
          <w:rFonts w:hint="eastAsia"/>
        </w:rPr>
      </w:pPr>
      <w:r>
        <w:rPr>
          <w:rFonts w:hint="eastAsia"/>
        </w:rPr>
        <w:t>8.2 参选人应根据本章内容和要求，提供对应资料，无遗漏。</w:t>
      </w:r>
    </w:p>
    <w:p w14:paraId="7042968C">
      <w:pPr>
        <w:ind w:firstLine="480"/>
        <w:rPr>
          <w:rFonts w:hint="eastAsia"/>
        </w:rPr>
      </w:pPr>
      <w:r>
        <w:rPr>
          <w:rFonts w:hint="eastAsia"/>
        </w:rPr>
        <w:t>8.3 其他未尽事宜由供需双方在合同中详细约定。</w:t>
      </w:r>
    </w:p>
    <w:p w14:paraId="0D3D048D">
      <w:pPr>
        <w:snapToGrid w:val="0"/>
        <w:spacing w:line="360" w:lineRule="auto"/>
        <w:ind w:firstLine="480"/>
        <w:rPr>
          <w:rFonts w:hint="eastAsia" w:ascii="宋体" w:cs="宋体"/>
          <w:snapToGrid w:val="0"/>
          <w:kern w:val="0"/>
          <w:szCs w:val="24"/>
        </w:rPr>
      </w:pPr>
    </w:p>
    <w:p w14:paraId="351C07D1">
      <w:pPr>
        <w:snapToGrid w:val="0"/>
        <w:spacing w:line="360" w:lineRule="auto"/>
        <w:ind w:firstLine="480"/>
        <w:rPr>
          <w:rFonts w:hint="eastAsia" w:ascii="宋体" w:cs="宋体"/>
          <w:snapToGrid w:val="0"/>
          <w:kern w:val="0"/>
          <w:szCs w:val="24"/>
        </w:rPr>
      </w:pPr>
      <w:r>
        <w:rPr>
          <w:rFonts w:hint="eastAsia" w:ascii="宋体" w:cs="宋体"/>
          <w:snapToGrid w:val="0"/>
          <w:kern w:val="0"/>
          <w:szCs w:val="24"/>
        </w:rPr>
        <w:br w:type="page"/>
      </w:r>
    </w:p>
    <w:p w14:paraId="5B90D198">
      <w:pPr>
        <w:pStyle w:val="2"/>
      </w:pPr>
      <w:bookmarkStart w:id="67" w:name="_Toc6357"/>
      <w:bookmarkStart w:id="68" w:name="_Toc30002"/>
      <w:bookmarkStart w:id="69" w:name="_Toc4417"/>
      <w:bookmarkStart w:id="70" w:name="_Toc29189"/>
      <w:r>
        <w:rPr>
          <w:rFonts w:hint="eastAsia"/>
        </w:rPr>
        <w:t>第四章 评审办法（经评审的最低价法）</w:t>
      </w:r>
      <w:bookmarkEnd w:id="67"/>
      <w:bookmarkEnd w:id="68"/>
      <w:bookmarkEnd w:id="69"/>
    </w:p>
    <w:p w14:paraId="4F3F9F6D">
      <w:pPr>
        <w:ind w:firstLine="482"/>
        <w:rPr>
          <w:rFonts w:hint="eastAsia"/>
          <w:b/>
          <w:bCs/>
        </w:rPr>
      </w:pPr>
      <w:r>
        <w:rPr>
          <w:rFonts w:hint="eastAsia"/>
          <w:b/>
          <w:bCs/>
        </w:rPr>
        <w:t>评审办法前附表</w:t>
      </w:r>
    </w:p>
    <w:p w14:paraId="079A364C">
      <w:pPr>
        <w:spacing w:line="360" w:lineRule="auto"/>
        <w:ind w:firstLine="480"/>
        <w:rPr>
          <w:rFonts w:hint="eastAsia"/>
        </w:rPr>
      </w:pPr>
      <w:r>
        <w:rPr>
          <w:rFonts w:ascii="宋体" w:hAnsi="宋体"/>
          <w:szCs w:val="21"/>
        </w:rPr>
        <w:t>若</w:t>
      </w:r>
      <w:r>
        <w:rPr>
          <w:rFonts w:hint="eastAsia" w:ascii="宋体" w:hAnsi="宋体"/>
          <w:szCs w:val="21"/>
        </w:rPr>
        <w:t>评审办法前附表</w:t>
      </w:r>
      <w:r>
        <w:rPr>
          <w:rFonts w:ascii="宋体" w:hAnsi="宋体"/>
          <w:szCs w:val="21"/>
        </w:rPr>
        <w:t>与正文不一致的地方，以</w:t>
      </w:r>
      <w:r>
        <w:rPr>
          <w:rFonts w:hint="eastAsia" w:ascii="宋体" w:hAnsi="宋体"/>
          <w:szCs w:val="21"/>
        </w:rPr>
        <w:t>评审办法前附表</w:t>
      </w:r>
      <w:r>
        <w:rPr>
          <w:rFonts w:ascii="宋体" w:hAnsi="宋体"/>
          <w:szCs w:val="21"/>
        </w:rPr>
        <w:t>为准。</w:t>
      </w:r>
    </w:p>
    <w:tbl>
      <w:tblPr>
        <w:tblStyle w:val="15"/>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
        <w:gridCol w:w="1253"/>
        <w:gridCol w:w="1753"/>
        <w:gridCol w:w="5476"/>
      </w:tblGrid>
      <w:tr w14:paraId="00191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982" w:type="dxa"/>
            <w:vAlign w:val="center"/>
          </w:tcPr>
          <w:p w14:paraId="193C05A2">
            <w:pPr>
              <w:spacing w:line="360" w:lineRule="auto"/>
              <w:ind w:firstLine="0" w:firstLineChars="0"/>
              <w:jc w:val="center"/>
              <w:rPr>
                <w:rFonts w:ascii="宋体" w:hAnsi="宋体" w:cs="宋体"/>
                <w:b/>
                <w:kern w:val="0"/>
                <w:sz w:val="21"/>
                <w:szCs w:val="21"/>
              </w:rPr>
            </w:pPr>
            <w:r>
              <w:rPr>
                <w:rFonts w:hint="eastAsia" w:ascii="宋体" w:hAnsi="宋体" w:cs="宋体"/>
                <w:b/>
                <w:kern w:val="0"/>
                <w:sz w:val="21"/>
                <w:szCs w:val="21"/>
              </w:rPr>
              <w:t>条款号</w:t>
            </w:r>
          </w:p>
        </w:tc>
        <w:tc>
          <w:tcPr>
            <w:tcW w:w="1253" w:type="dxa"/>
            <w:vAlign w:val="center"/>
          </w:tcPr>
          <w:p w14:paraId="6D817B94">
            <w:pPr>
              <w:spacing w:line="360" w:lineRule="auto"/>
              <w:ind w:firstLine="0" w:firstLineChars="0"/>
              <w:jc w:val="center"/>
              <w:rPr>
                <w:rFonts w:ascii="宋体" w:hAnsi="宋体" w:cs="宋体"/>
                <w:b/>
                <w:kern w:val="0"/>
                <w:sz w:val="21"/>
                <w:szCs w:val="21"/>
              </w:rPr>
            </w:pPr>
            <w:r>
              <w:rPr>
                <w:rFonts w:hint="eastAsia" w:ascii="宋体" w:hAnsi="宋体" w:cs="宋体"/>
                <w:b/>
                <w:kern w:val="0"/>
                <w:sz w:val="21"/>
                <w:szCs w:val="21"/>
              </w:rPr>
              <w:t>评审因素</w:t>
            </w:r>
          </w:p>
        </w:tc>
        <w:tc>
          <w:tcPr>
            <w:tcW w:w="7229" w:type="dxa"/>
            <w:gridSpan w:val="2"/>
            <w:vAlign w:val="center"/>
          </w:tcPr>
          <w:p w14:paraId="1A0CE53D">
            <w:pPr>
              <w:spacing w:line="360" w:lineRule="auto"/>
              <w:ind w:firstLine="0" w:firstLineChars="0"/>
              <w:jc w:val="center"/>
              <w:rPr>
                <w:rFonts w:ascii="宋体" w:hAnsi="宋体" w:cs="宋体"/>
                <w:b/>
                <w:kern w:val="0"/>
                <w:sz w:val="21"/>
                <w:szCs w:val="21"/>
              </w:rPr>
            </w:pPr>
            <w:r>
              <w:rPr>
                <w:rFonts w:hint="eastAsia" w:ascii="宋体" w:hAnsi="宋体" w:cs="宋体"/>
                <w:b/>
                <w:kern w:val="0"/>
                <w:sz w:val="21"/>
                <w:szCs w:val="21"/>
              </w:rPr>
              <w:t>评审标准</w:t>
            </w:r>
          </w:p>
        </w:tc>
      </w:tr>
      <w:tr w14:paraId="2214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982" w:type="dxa"/>
            <w:vAlign w:val="center"/>
          </w:tcPr>
          <w:p w14:paraId="70B3927E">
            <w:pPr>
              <w:spacing w:line="360" w:lineRule="auto"/>
              <w:ind w:firstLine="0" w:firstLineChars="0"/>
              <w:jc w:val="center"/>
              <w:rPr>
                <w:rFonts w:ascii="宋体" w:hAnsi="宋体" w:cs="宋体"/>
                <w:bCs/>
                <w:kern w:val="0"/>
                <w:sz w:val="21"/>
                <w:szCs w:val="21"/>
              </w:rPr>
            </w:pPr>
            <w:r>
              <w:rPr>
                <w:rFonts w:hint="eastAsia" w:ascii="宋体" w:hAnsi="宋体" w:cs="宋体"/>
                <w:bCs/>
                <w:kern w:val="0"/>
                <w:sz w:val="21"/>
                <w:szCs w:val="21"/>
              </w:rPr>
              <w:t>1</w:t>
            </w:r>
          </w:p>
        </w:tc>
        <w:tc>
          <w:tcPr>
            <w:tcW w:w="1253" w:type="dxa"/>
            <w:vAlign w:val="center"/>
          </w:tcPr>
          <w:p w14:paraId="56EB0E6D">
            <w:pPr>
              <w:spacing w:line="360" w:lineRule="auto"/>
              <w:ind w:firstLine="0" w:firstLineChars="0"/>
              <w:jc w:val="center"/>
              <w:rPr>
                <w:rFonts w:ascii="宋体" w:hAnsi="宋体" w:cs="宋体"/>
                <w:b/>
                <w:kern w:val="0"/>
                <w:sz w:val="21"/>
                <w:szCs w:val="21"/>
              </w:rPr>
            </w:pPr>
            <w:r>
              <w:rPr>
                <w:rFonts w:hint="eastAsia" w:ascii="宋体" w:hAnsi="宋体" w:cs="宋体"/>
                <w:sz w:val="21"/>
                <w:szCs w:val="21"/>
              </w:rPr>
              <w:t>评审方法</w:t>
            </w:r>
          </w:p>
        </w:tc>
        <w:tc>
          <w:tcPr>
            <w:tcW w:w="7229" w:type="dxa"/>
            <w:gridSpan w:val="2"/>
            <w:vAlign w:val="center"/>
          </w:tcPr>
          <w:p w14:paraId="54971193">
            <w:pPr>
              <w:spacing w:line="360" w:lineRule="auto"/>
              <w:ind w:firstLine="0" w:firstLineChars="0"/>
              <w:jc w:val="left"/>
              <w:rPr>
                <w:rFonts w:hint="eastAsia" w:ascii="宋体" w:hAnsi="宋体" w:cs="宋体"/>
                <w:spacing w:val="4"/>
                <w:kern w:val="0"/>
                <w:sz w:val="21"/>
                <w:szCs w:val="21"/>
              </w:rPr>
            </w:pPr>
            <w:r>
              <w:rPr>
                <w:rFonts w:hint="eastAsia" w:ascii="宋体" w:hAnsi="宋体" w:cs="宋体"/>
                <w:spacing w:val="4"/>
                <w:kern w:val="0"/>
                <w:sz w:val="21"/>
                <w:szCs w:val="21"/>
              </w:rPr>
              <w:t>本次评审采用经评审的最低价法，评审委员会按照评审办法前附表第2.1 条进行符合性审查，再按照评审办法前附表第2.2 条进行报价排序，符合性审查合格的参选人中按报价由低到高，推荐1-3名中选候选人。若出现参选人参选报价相同的，</w:t>
            </w:r>
            <w:r>
              <w:rPr>
                <w:rFonts w:hint="eastAsia" w:ascii="宋体" w:hAnsi="宋体" w:cs="Times New Roman"/>
                <w:kern w:val="0"/>
                <w:sz w:val="21"/>
                <w:szCs w:val="24"/>
              </w:rPr>
              <w:t>由评审委员会</w:t>
            </w:r>
            <w:r>
              <w:rPr>
                <w:rFonts w:hint="eastAsia" w:ascii="宋体" w:hAnsi="宋体" w:cs="Times New Roman"/>
                <w:kern w:val="0"/>
                <w:sz w:val="21"/>
                <w:szCs w:val="24"/>
                <w:lang w:val="en-US" w:eastAsia="zh-CN"/>
              </w:rPr>
              <w:t>根据参选人提供的与比选人的合作案例，</w:t>
            </w:r>
            <w:r>
              <w:rPr>
                <w:rFonts w:hint="eastAsia" w:ascii="宋体" w:hAnsi="宋体" w:cs="Times New Roman"/>
                <w:kern w:val="0"/>
                <w:sz w:val="21"/>
                <w:szCs w:val="24"/>
              </w:rPr>
              <w:t>按照</w:t>
            </w:r>
            <w:r>
              <w:rPr>
                <w:rFonts w:hint="eastAsia" w:ascii="宋体" w:hAnsi="宋体" w:cs="Times New Roman"/>
                <w:kern w:val="0"/>
                <w:sz w:val="21"/>
                <w:szCs w:val="24"/>
                <w:lang w:val="en-US" w:eastAsia="zh-CN"/>
              </w:rPr>
              <w:t>合作时间长的优先</w:t>
            </w:r>
            <w:r>
              <w:rPr>
                <w:rFonts w:hint="eastAsia" w:ascii="宋体" w:hAnsi="宋体" w:cs="Times New Roman"/>
                <w:kern w:val="0"/>
                <w:sz w:val="21"/>
                <w:szCs w:val="24"/>
              </w:rPr>
              <w:t>的原则排序</w:t>
            </w:r>
            <w:r>
              <w:rPr>
                <w:rFonts w:hint="eastAsia" w:ascii="宋体" w:hAnsi="宋体" w:cs="宋体"/>
                <w:spacing w:val="4"/>
                <w:kern w:val="0"/>
                <w:sz w:val="21"/>
                <w:szCs w:val="21"/>
              </w:rPr>
              <w:t>。</w:t>
            </w:r>
          </w:p>
          <w:p w14:paraId="54125452">
            <w:pPr>
              <w:spacing w:line="360" w:lineRule="auto"/>
              <w:ind w:firstLine="0" w:firstLineChars="0"/>
              <w:jc w:val="left"/>
            </w:pPr>
            <w:r>
              <w:rPr>
                <w:rFonts w:hint="eastAsia" w:ascii="宋体" w:hAnsi="宋体" w:cs="宋体"/>
                <w:spacing w:val="4"/>
                <w:kern w:val="0"/>
                <w:sz w:val="21"/>
                <w:szCs w:val="21"/>
                <w:lang w:val="en-US" w:eastAsia="zh-CN"/>
              </w:rPr>
              <w:t>注：合作案例应为2022年1月1日至2024年11月1日（以合同签订时间为准）的广告类合作案例。</w:t>
            </w:r>
          </w:p>
          <w:p w14:paraId="0A143915">
            <w:pPr>
              <w:spacing w:line="360" w:lineRule="auto"/>
              <w:ind w:firstLine="0" w:firstLineChars="0"/>
              <w:jc w:val="left"/>
              <w:rPr>
                <w:rFonts w:hint="default"/>
                <w:lang w:val="en-US" w:eastAsia="zh-CN"/>
              </w:rPr>
            </w:pPr>
            <w:r>
              <w:rPr>
                <w:rFonts w:hint="eastAsia" w:ascii="宋体" w:hAnsi="宋体" w:eastAsia="宋体" w:cs="宋体"/>
                <w:spacing w:val="4"/>
                <w:kern w:val="0"/>
                <w:sz w:val="21"/>
                <w:szCs w:val="21"/>
                <w:lang w:val="en-US" w:eastAsia="zh-CN"/>
              </w:rPr>
              <w:t>案例需提供合同关键页、项目简介、合同对应的发票之一和网上税务系统查询（https://inv-veri.chinatax.gov.cn/）该发票的截图。合同关键页包含：甲乙双方名称、双方印章、项目名称、合同签订时间、服务范围。发票开具日期须晚于合同签订日期、发票购买方须与合同买方一致、发票销售方须与合同卖方（参选人）一致。以上证明文件需提供原件备查，参选文件中须附相关证明文件复印件并逐页加盖公章。</w:t>
            </w:r>
          </w:p>
        </w:tc>
      </w:tr>
      <w:tr w14:paraId="1CA0C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982" w:type="dxa"/>
            <w:vAlign w:val="center"/>
          </w:tcPr>
          <w:p w14:paraId="3FB14E36">
            <w:pPr>
              <w:spacing w:line="360" w:lineRule="auto"/>
              <w:ind w:firstLine="0" w:firstLineChars="0"/>
              <w:jc w:val="center"/>
              <w:rPr>
                <w:rFonts w:ascii="宋体" w:hAnsi="宋体" w:cs="宋体"/>
                <w:bCs/>
                <w:kern w:val="0"/>
                <w:sz w:val="21"/>
                <w:szCs w:val="21"/>
              </w:rPr>
            </w:pPr>
            <w:r>
              <w:rPr>
                <w:rFonts w:hint="eastAsia" w:ascii="宋体" w:hAnsi="宋体" w:cs="宋体"/>
                <w:bCs/>
                <w:kern w:val="0"/>
                <w:sz w:val="21"/>
                <w:szCs w:val="21"/>
              </w:rPr>
              <w:t>2.1</w:t>
            </w:r>
          </w:p>
        </w:tc>
        <w:tc>
          <w:tcPr>
            <w:tcW w:w="1253" w:type="dxa"/>
            <w:vAlign w:val="center"/>
          </w:tcPr>
          <w:p w14:paraId="6E435A80">
            <w:pPr>
              <w:spacing w:line="360" w:lineRule="auto"/>
              <w:ind w:firstLine="0" w:firstLineChars="0"/>
              <w:jc w:val="center"/>
              <w:rPr>
                <w:rFonts w:ascii="宋体" w:hAnsi="宋体" w:cs="宋体"/>
                <w:sz w:val="21"/>
                <w:szCs w:val="21"/>
              </w:rPr>
            </w:pPr>
            <w:r>
              <w:rPr>
                <w:rFonts w:hint="eastAsia" w:ascii="宋体" w:hAnsi="宋体" w:cs="宋体"/>
                <w:kern w:val="0"/>
                <w:sz w:val="21"/>
                <w:szCs w:val="21"/>
              </w:rPr>
              <w:t>符合性审查标准</w:t>
            </w:r>
          </w:p>
        </w:tc>
        <w:tc>
          <w:tcPr>
            <w:tcW w:w="7229" w:type="dxa"/>
            <w:gridSpan w:val="2"/>
            <w:vAlign w:val="center"/>
          </w:tcPr>
          <w:p w14:paraId="2CC893CA">
            <w:pPr>
              <w:spacing w:line="360" w:lineRule="auto"/>
              <w:ind w:firstLine="0" w:firstLineChars="0"/>
              <w:jc w:val="left"/>
              <w:rPr>
                <w:rFonts w:ascii="宋体" w:hAnsi="宋体" w:cs="宋体"/>
                <w:spacing w:val="4"/>
                <w:kern w:val="0"/>
                <w:sz w:val="21"/>
                <w:szCs w:val="21"/>
              </w:rPr>
            </w:pPr>
            <w:r>
              <w:rPr>
                <w:rFonts w:hint="eastAsia" w:ascii="宋体" w:hAnsi="宋体" w:cs="宋体"/>
                <w:kern w:val="0"/>
                <w:sz w:val="21"/>
                <w:szCs w:val="21"/>
              </w:rPr>
              <w:t>所有参选单位</w:t>
            </w:r>
            <w:r>
              <w:rPr>
                <w:rFonts w:hint="eastAsia" w:ascii="宋体" w:hAnsi="宋体" w:cs="宋体"/>
                <w:spacing w:val="4"/>
                <w:kern w:val="0"/>
                <w:sz w:val="21"/>
                <w:szCs w:val="21"/>
              </w:rPr>
              <w:t>进行符合性审查。符合性审查内容：资格评审、形式评审、响应性评审。</w:t>
            </w:r>
          </w:p>
        </w:tc>
      </w:tr>
      <w:tr w14:paraId="2F8A6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982" w:type="dxa"/>
            <w:vAlign w:val="center"/>
          </w:tcPr>
          <w:p w14:paraId="3987A95E">
            <w:pPr>
              <w:spacing w:line="360" w:lineRule="auto"/>
              <w:ind w:firstLine="0" w:firstLineChars="0"/>
              <w:jc w:val="center"/>
              <w:rPr>
                <w:rFonts w:ascii="宋体" w:hAnsi="宋体" w:cs="宋体"/>
                <w:bCs/>
                <w:kern w:val="0"/>
                <w:sz w:val="21"/>
                <w:szCs w:val="21"/>
              </w:rPr>
            </w:pPr>
            <w:r>
              <w:rPr>
                <w:rFonts w:hint="eastAsia" w:ascii="宋体" w:hAnsi="宋体" w:cs="宋体"/>
                <w:bCs/>
                <w:kern w:val="0"/>
                <w:sz w:val="21"/>
                <w:szCs w:val="21"/>
              </w:rPr>
              <w:t>2.2</w:t>
            </w:r>
          </w:p>
        </w:tc>
        <w:tc>
          <w:tcPr>
            <w:tcW w:w="1253" w:type="dxa"/>
            <w:vAlign w:val="center"/>
          </w:tcPr>
          <w:p w14:paraId="47206C64">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报价排序</w:t>
            </w:r>
          </w:p>
        </w:tc>
        <w:tc>
          <w:tcPr>
            <w:tcW w:w="7229" w:type="dxa"/>
            <w:gridSpan w:val="2"/>
            <w:vAlign w:val="center"/>
          </w:tcPr>
          <w:p w14:paraId="37E57C1E">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对报价不高于最高限价的所有参选人的参选文件，</w:t>
            </w:r>
            <w:r>
              <w:rPr>
                <w:rFonts w:hint="eastAsia" w:ascii="宋体" w:hAnsi="宋体" w:cs="宋体"/>
                <w:spacing w:val="4"/>
                <w:kern w:val="0"/>
                <w:sz w:val="21"/>
                <w:szCs w:val="21"/>
              </w:rPr>
              <w:t>符合性审查合格的</w:t>
            </w:r>
            <w:r>
              <w:rPr>
                <w:rFonts w:hint="eastAsia" w:ascii="宋体" w:hAnsi="宋体" w:cs="宋体"/>
                <w:kern w:val="0"/>
                <w:sz w:val="21"/>
                <w:szCs w:val="21"/>
              </w:rPr>
              <w:t>按照</w:t>
            </w:r>
            <w:r>
              <w:rPr>
                <w:rFonts w:hint="eastAsia" w:ascii="宋体" w:hAnsi="宋体" w:cs="宋体"/>
                <w:b/>
                <w:bCs/>
                <w:kern w:val="0"/>
                <w:sz w:val="21"/>
                <w:szCs w:val="21"/>
                <w:lang w:val="en-US" w:eastAsia="zh-CN"/>
              </w:rPr>
              <w:t>不含税</w:t>
            </w:r>
            <w:r>
              <w:rPr>
                <w:rFonts w:hint="eastAsia" w:ascii="宋体" w:hAnsi="宋体" w:cs="宋体"/>
                <w:b/>
                <w:bCs/>
                <w:kern w:val="0"/>
                <w:sz w:val="21"/>
                <w:szCs w:val="21"/>
              </w:rPr>
              <w:t>报价</w:t>
            </w:r>
            <w:r>
              <w:rPr>
                <w:rFonts w:hint="eastAsia" w:ascii="宋体" w:hAnsi="宋体" w:cs="宋体"/>
                <w:kern w:val="0"/>
                <w:sz w:val="21"/>
                <w:szCs w:val="21"/>
              </w:rPr>
              <w:t>由低到高的顺序排序。</w:t>
            </w:r>
          </w:p>
        </w:tc>
      </w:tr>
      <w:tr w14:paraId="6872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982" w:type="dxa"/>
            <w:vAlign w:val="center"/>
          </w:tcPr>
          <w:p w14:paraId="19EB2A01">
            <w:pPr>
              <w:spacing w:line="360" w:lineRule="auto"/>
              <w:ind w:firstLine="0" w:firstLineChars="0"/>
              <w:jc w:val="center"/>
              <w:rPr>
                <w:rFonts w:ascii="宋体" w:hAnsi="宋体" w:cs="宋体"/>
                <w:bCs/>
                <w:kern w:val="0"/>
                <w:sz w:val="21"/>
                <w:szCs w:val="21"/>
              </w:rPr>
            </w:pPr>
            <w:r>
              <w:rPr>
                <w:rFonts w:hint="eastAsia" w:ascii="宋体" w:hAnsi="宋体" w:cs="宋体"/>
                <w:bCs/>
                <w:kern w:val="0"/>
                <w:sz w:val="21"/>
                <w:szCs w:val="21"/>
              </w:rPr>
              <w:t>2.2.1</w:t>
            </w:r>
          </w:p>
        </w:tc>
        <w:tc>
          <w:tcPr>
            <w:tcW w:w="1253" w:type="dxa"/>
            <w:vAlign w:val="center"/>
          </w:tcPr>
          <w:p w14:paraId="0E7273D9">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资格评审标准</w:t>
            </w:r>
          </w:p>
        </w:tc>
        <w:tc>
          <w:tcPr>
            <w:tcW w:w="1753" w:type="dxa"/>
            <w:vAlign w:val="center"/>
          </w:tcPr>
          <w:p w14:paraId="167CC9F7">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资格条件要求</w:t>
            </w:r>
          </w:p>
        </w:tc>
        <w:tc>
          <w:tcPr>
            <w:tcW w:w="5476" w:type="dxa"/>
            <w:vAlign w:val="center"/>
          </w:tcPr>
          <w:p w14:paraId="6693F894">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符合第一章“2. 参选人资格要求”规定</w:t>
            </w:r>
          </w:p>
        </w:tc>
      </w:tr>
      <w:tr w14:paraId="3867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2" w:type="dxa"/>
            <w:vMerge w:val="restart"/>
            <w:vAlign w:val="center"/>
          </w:tcPr>
          <w:p w14:paraId="2DBA6EF2">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2.2.2</w:t>
            </w:r>
          </w:p>
        </w:tc>
        <w:tc>
          <w:tcPr>
            <w:tcW w:w="1253" w:type="dxa"/>
            <w:vMerge w:val="restart"/>
            <w:vAlign w:val="center"/>
          </w:tcPr>
          <w:p w14:paraId="47E93424">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形式评审标准</w:t>
            </w:r>
          </w:p>
        </w:tc>
        <w:tc>
          <w:tcPr>
            <w:tcW w:w="1753" w:type="dxa"/>
            <w:vAlign w:val="center"/>
          </w:tcPr>
          <w:p w14:paraId="7CAD6DFD">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参选人名称</w:t>
            </w:r>
          </w:p>
        </w:tc>
        <w:tc>
          <w:tcPr>
            <w:tcW w:w="5476" w:type="dxa"/>
            <w:vAlign w:val="center"/>
          </w:tcPr>
          <w:p w14:paraId="3CBBDC65">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与营业执照、资格证明材料一致</w:t>
            </w:r>
          </w:p>
        </w:tc>
      </w:tr>
      <w:tr w14:paraId="6DBA6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982" w:type="dxa"/>
            <w:vMerge w:val="continue"/>
          </w:tcPr>
          <w:p w14:paraId="14D5FC34">
            <w:pPr>
              <w:spacing w:line="360" w:lineRule="auto"/>
              <w:ind w:firstLine="0" w:firstLineChars="0"/>
              <w:rPr>
                <w:rFonts w:ascii="宋体" w:hAnsi="宋体" w:cs="宋体"/>
                <w:sz w:val="21"/>
                <w:szCs w:val="21"/>
              </w:rPr>
            </w:pPr>
          </w:p>
        </w:tc>
        <w:tc>
          <w:tcPr>
            <w:tcW w:w="1253" w:type="dxa"/>
            <w:vMerge w:val="continue"/>
            <w:vAlign w:val="center"/>
          </w:tcPr>
          <w:p w14:paraId="154AB9BB">
            <w:pPr>
              <w:spacing w:line="360" w:lineRule="auto"/>
              <w:ind w:firstLine="0" w:firstLineChars="0"/>
              <w:jc w:val="center"/>
              <w:rPr>
                <w:rFonts w:ascii="宋体" w:hAnsi="宋体" w:cs="宋体"/>
                <w:sz w:val="21"/>
                <w:szCs w:val="21"/>
              </w:rPr>
            </w:pPr>
          </w:p>
        </w:tc>
        <w:tc>
          <w:tcPr>
            <w:tcW w:w="1753" w:type="dxa"/>
            <w:vAlign w:val="center"/>
          </w:tcPr>
          <w:p w14:paraId="5090E5C5">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参选文件的签字盖章</w:t>
            </w:r>
          </w:p>
        </w:tc>
        <w:tc>
          <w:tcPr>
            <w:tcW w:w="5476" w:type="dxa"/>
            <w:vAlign w:val="center"/>
          </w:tcPr>
          <w:p w14:paraId="35E38AD1">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符合第二章“参选人须知”4.5 条规定</w:t>
            </w:r>
          </w:p>
        </w:tc>
      </w:tr>
      <w:tr w14:paraId="3ECFA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982" w:type="dxa"/>
            <w:vMerge w:val="continue"/>
          </w:tcPr>
          <w:p w14:paraId="2EBC0238">
            <w:pPr>
              <w:spacing w:line="360" w:lineRule="auto"/>
              <w:ind w:firstLine="0" w:firstLineChars="0"/>
              <w:rPr>
                <w:rFonts w:ascii="宋体" w:hAnsi="宋体" w:cs="宋体"/>
                <w:sz w:val="21"/>
                <w:szCs w:val="21"/>
              </w:rPr>
            </w:pPr>
          </w:p>
        </w:tc>
        <w:tc>
          <w:tcPr>
            <w:tcW w:w="1253" w:type="dxa"/>
            <w:vMerge w:val="continue"/>
            <w:vAlign w:val="center"/>
          </w:tcPr>
          <w:p w14:paraId="3692FF28">
            <w:pPr>
              <w:spacing w:line="360" w:lineRule="auto"/>
              <w:ind w:firstLine="0" w:firstLineChars="0"/>
              <w:jc w:val="center"/>
              <w:rPr>
                <w:rFonts w:ascii="宋体" w:hAnsi="宋体" w:cs="宋体"/>
                <w:sz w:val="21"/>
                <w:szCs w:val="21"/>
              </w:rPr>
            </w:pPr>
          </w:p>
        </w:tc>
        <w:tc>
          <w:tcPr>
            <w:tcW w:w="1753" w:type="dxa"/>
            <w:vAlign w:val="center"/>
          </w:tcPr>
          <w:p w14:paraId="43A90F0B">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参选文件的密封</w:t>
            </w:r>
          </w:p>
        </w:tc>
        <w:tc>
          <w:tcPr>
            <w:tcW w:w="5476" w:type="dxa"/>
            <w:vAlign w:val="center"/>
          </w:tcPr>
          <w:p w14:paraId="10EB587D">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符合第二章“参选人须知”4.6 条规定</w:t>
            </w:r>
          </w:p>
        </w:tc>
      </w:tr>
      <w:tr w14:paraId="16DAE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982" w:type="dxa"/>
            <w:vMerge w:val="continue"/>
          </w:tcPr>
          <w:p w14:paraId="6C33F15E">
            <w:pPr>
              <w:spacing w:line="360" w:lineRule="auto"/>
              <w:ind w:firstLine="0" w:firstLineChars="0"/>
              <w:rPr>
                <w:rFonts w:ascii="宋体" w:hAnsi="宋体" w:cs="宋体"/>
                <w:sz w:val="21"/>
                <w:szCs w:val="21"/>
              </w:rPr>
            </w:pPr>
          </w:p>
        </w:tc>
        <w:tc>
          <w:tcPr>
            <w:tcW w:w="1253" w:type="dxa"/>
            <w:vMerge w:val="continue"/>
            <w:vAlign w:val="center"/>
          </w:tcPr>
          <w:p w14:paraId="776CE0C4">
            <w:pPr>
              <w:spacing w:line="360" w:lineRule="auto"/>
              <w:ind w:firstLine="0" w:firstLineChars="0"/>
              <w:jc w:val="center"/>
              <w:rPr>
                <w:rFonts w:ascii="宋体" w:hAnsi="宋体" w:cs="宋体"/>
                <w:sz w:val="21"/>
                <w:szCs w:val="21"/>
              </w:rPr>
            </w:pPr>
          </w:p>
        </w:tc>
        <w:tc>
          <w:tcPr>
            <w:tcW w:w="1753" w:type="dxa"/>
            <w:vAlign w:val="center"/>
          </w:tcPr>
          <w:p w14:paraId="5B333EA9">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参选文件格式</w:t>
            </w:r>
          </w:p>
        </w:tc>
        <w:tc>
          <w:tcPr>
            <w:tcW w:w="5476" w:type="dxa"/>
            <w:vAlign w:val="center"/>
          </w:tcPr>
          <w:p w14:paraId="54398491">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符合第六章“参选文件格式”的要求</w:t>
            </w:r>
          </w:p>
        </w:tc>
      </w:tr>
      <w:tr w14:paraId="03FA7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982" w:type="dxa"/>
            <w:vMerge w:val="continue"/>
          </w:tcPr>
          <w:p w14:paraId="344A9600">
            <w:pPr>
              <w:spacing w:line="360" w:lineRule="auto"/>
              <w:ind w:firstLine="0" w:firstLineChars="0"/>
              <w:rPr>
                <w:rFonts w:ascii="宋体" w:hAnsi="宋体" w:cs="宋体"/>
                <w:sz w:val="21"/>
                <w:szCs w:val="21"/>
              </w:rPr>
            </w:pPr>
          </w:p>
        </w:tc>
        <w:tc>
          <w:tcPr>
            <w:tcW w:w="1253" w:type="dxa"/>
            <w:vMerge w:val="continue"/>
            <w:vAlign w:val="center"/>
          </w:tcPr>
          <w:p w14:paraId="726C2EDD">
            <w:pPr>
              <w:spacing w:line="360" w:lineRule="auto"/>
              <w:ind w:firstLine="0" w:firstLineChars="0"/>
              <w:jc w:val="center"/>
              <w:rPr>
                <w:rFonts w:ascii="宋体" w:hAnsi="宋体" w:cs="宋体"/>
                <w:sz w:val="21"/>
                <w:szCs w:val="21"/>
              </w:rPr>
            </w:pPr>
          </w:p>
        </w:tc>
        <w:tc>
          <w:tcPr>
            <w:tcW w:w="1753" w:type="dxa"/>
            <w:vAlign w:val="center"/>
          </w:tcPr>
          <w:p w14:paraId="74FA9217">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参选文件组成</w:t>
            </w:r>
          </w:p>
        </w:tc>
        <w:tc>
          <w:tcPr>
            <w:tcW w:w="5476" w:type="dxa"/>
            <w:vAlign w:val="center"/>
          </w:tcPr>
          <w:p w14:paraId="3A3E33EB">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符合第二章“参选人须知”4.1 条规定，内容齐全、无遗漏</w:t>
            </w:r>
          </w:p>
        </w:tc>
      </w:tr>
      <w:tr w14:paraId="1750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982" w:type="dxa"/>
            <w:vMerge w:val="continue"/>
          </w:tcPr>
          <w:p w14:paraId="3AC3CF1C">
            <w:pPr>
              <w:spacing w:line="360" w:lineRule="auto"/>
              <w:ind w:firstLine="0" w:firstLineChars="0"/>
              <w:rPr>
                <w:rFonts w:ascii="宋体" w:hAnsi="宋体" w:cs="宋体"/>
                <w:sz w:val="21"/>
                <w:szCs w:val="21"/>
              </w:rPr>
            </w:pPr>
          </w:p>
        </w:tc>
        <w:tc>
          <w:tcPr>
            <w:tcW w:w="1253" w:type="dxa"/>
            <w:vMerge w:val="continue"/>
            <w:vAlign w:val="center"/>
          </w:tcPr>
          <w:p w14:paraId="48FCD0A7">
            <w:pPr>
              <w:spacing w:line="360" w:lineRule="auto"/>
              <w:ind w:firstLine="0" w:firstLineChars="0"/>
              <w:jc w:val="center"/>
              <w:rPr>
                <w:rFonts w:ascii="宋体" w:hAnsi="宋体" w:cs="宋体"/>
                <w:sz w:val="21"/>
                <w:szCs w:val="21"/>
              </w:rPr>
            </w:pPr>
          </w:p>
        </w:tc>
        <w:tc>
          <w:tcPr>
            <w:tcW w:w="1753" w:type="dxa"/>
            <w:vAlign w:val="center"/>
          </w:tcPr>
          <w:p w14:paraId="2BDE380E">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联合体参选</w:t>
            </w:r>
          </w:p>
        </w:tc>
        <w:tc>
          <w:tcPr>
            <w:tcW w:w="5476" w:type="dxa"/>
            <w:vAlign w:val="center"/>
          </w:tcPr>
          <w:p w14:paraId="5B7CAFED">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符合第一章“2. 参选人资格要求”2.8 条的要求</w:t>
            </w:r>
          </w:p>
        </w:tc>
      </w:tr>
      <w:tr w14:paraId="6C60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982" w:type="dxa"/>
            <w:vMerge w:val="restart"/>
            <w:vAlign w:val="center"/>
          </w:tcPr>
          <w:p w14:paraId="704AAEA3">
            <w:pPr>
              <w:spacing w:line="360" w:lineRule="auto"/>
              <w:ind w:firstLine="0" w:firstLineChars="0"/>
              <w:jc w:val="center"/>
              <w:rPr>
                <w:rFonts w:ascii="宋体" w:hAnsi="宋体" w:cs="宋体"/>
                <w:sz w:val="21"/>
                <w:szCs w:val="21"/>
              </w:rPr>
            </w:pPr>
            <w:r>
              <w:rPr>
                <w:rFonts w:hint="eastAsia" w:ascii="宋体" w:hAnsi="宋体" w:cs="宋体"/>
                <w:kern w:val="0"/>
                <w:sz w:val="21"/>
                <w:szCs w:val="21"/>
              </w:rPr>
              <w:t>2.2.3</w:t>
            </w:r>
          </w:p>
        </w:tc>
        <w:tc>
          <w:tcPr>
            <w:tcW w:w="1253" w:type="dxa"/>
            <w:vMerge w:val="restart"/>
            <w:vAlign w:val="center"/>
          </w:tcPr>
          <w:p w14:paraId="683CD653">
            <w:pPr>
              <w:spacing w:line="360" w:lineRule="auto"/>
              <w:ind w:firstLine="0" w:firstLineChars="0"/>
              <w:jc w:val="center"/>
              <w:rPr>
                <w:rFonts w:ascii="宋体" w:hAnsi="宋体" w:cs="宋体"/>
                <w:sz w:val="21"/>
                <w:szCs w:val="21"/>
              </w:rPr>
            </w:pPr>
            <w:r>
              <w:rPr>
                <w:rFonts w:hint="eastAsia" w:ascii="宋体" w:hAnsi="宋体" w:cs="宋体"/>
                <w:kern w:val="0"/>
                <w:sz w:val="21"/>
                <w:szCs w:val="21"/>
              </w:rPr>
              <w:t>响应性评审标准</w:t>
            </w:r>
          </w:p>
        </w:tc>
        <w:tc>
          <w:tcPr>
            <w:tcW w:w="1753" w:type="dxa"/>
            <w:vAlign w:val="center"/>
          </w:tcPr>
          <w:p w14:paraId="464515DB">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参选内容</w:t>
            </w:r>
          </w:p>
        </w:tc>
        <w:tc>
          <w:tcPr>
            <w:tcW w:w="5476" w:type="dxa"/>
            <w:vAlign w:val="center"/>
          </w:tcPr>
          <w:p w14:paraId="49D98FD2">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1. 在响应承诺函中对第三章“项目要求”内容做出整体承诺；</w:t>
            </w:r>
          </w:p>
          <w:p w14:paraId="56141D34">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 xml:space="preserve">2. 根据第一章“2. </w:t>
            </w:r>
            <w:r>
              <w:rPr>
                <w:rFonts w:ascii="宋体" w:hAnsi="宋体" w:cs="宋体"/>
                <w:kern w:val="0"/>
                <w:sz w:val="21"/>
                <w:szCs w:val="21"/>
              </w:rPr>
              <w:t>参选人资格要求”和第三章“项目要求”的要求规定，提供对应</w:t>
            </w:r>
            <w:r>
              <w:rPr>
                <w:rFonts w:hint="eastAsia" w:ascii="宋体" w:hAnsi="宋体" w:cs="宋体"/>
                <w:kern w:val="0"/>
                <w:sz w:val="21"/>
                <w:szCs w:val="21"/>
              </w:rPr>
              <w:t>材料</w:t>
            </w:r>
            <w:r>
              <w:rPr>
                <w:rFonts w:ascii="宋体" w:hAnsi="宋体" w:cs="宋体"/>
                <w:kern w:val="0"/>
                <w:sz w:val="21"/>
                <w:szCs w:val="21"/>
              </w:rPr>
              <w:t>，内容齐全、无遗漏。</w:t>
            </w:r>
          </w:p>
        </w:tc>
      </w:tr>
      <w:tr w14:paraId="4A13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82" w:type="dxa"/>
            <w:vMerge w:val="continue"/>
          </w:tcPr>
          <w:p w14:paraId="0C386F9A">
            <w:pPr>
              <w:spacing w:line="360" w:lineRule="auto"/>
              <w:ind w:firstLine="0" w:firstLineChars="0"/>
              <w:jc w:val="center"/>
              <w:rPr>
                <w:rFonts w:ascii="宋体" w:hAnsi="宋体" w:cs="宋体"/>
                <w:sz w:val="21"/>
                <w:szCs w:val="21"/>
              </w:rPr>
            </w:pPr>
          </w:p>
        </w:tc>
        <w:tc>
          <w:tcPr>
            <w:tcW w:w="1253" w:type="dxa"/>
            <w:vMerge w:val="continue"/>
          </w:tcPr>
          <w:p w14:paraId="5E2460FD">
            <w:pPr>
              <w:spacing w:line="360" w:lineRule="auto"/>
              <w:ind w:firstLine="0" w:firstLineChars="0"/>
              <w:jc w:val="center"/>
              <w:rPr>
                <w:rFonts w:ascii="宋体" w:hAnsi="宋体" w:cs="宋体"/>
                <w:sz w:val="21"/>
                <w:szCs w:val="21"/>
              </w:rPr>
            </w:pPr>
          </w:p>
        </w:tc>
        <w:tc>
          <w:tcPr>
            <w:tcW w:w="1753" w:type="dxa"/>
            <w:vAlign w:val="center"/>
          </w:tcPr>
          <w:p w14:paraId="0CB28316">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参选文件份数</w:t>
            </w:r>
          </w:p>
        </w:tc>
        <w:tc>
          <w:tcPr>
            <w:tcW w:w="5476" w:type="dxa"/>
            <w:vAlign w:val="center"/>
          </w:tcPr>
          <w:p w14:paraId="0FCD853E">
            <w:pPr>
              <w:spacing w:line="240" w:lineRule="auto"/>
              <w:ind w:firstLine="0" w:firstLineChars="0"/>
              <w:rPr>
                <w:rFonts w:ascii="宋体" w:hAnsi="宋体" w:cs="宋体"/>
                <w:kern w:val="0"/>
                <w:sz w:val="21"/>
                <w:szCs w:val="21"/>
              </w:rPr>
            </w:pPr>
            <w:r>
              <w:rPr>
                <w:rFonts w:hint="eastAsia" w:ascii="宋体" w:hAnsi="宋体" w:cs="宋体"/>
                <w:kern w:val="0"/>
                <w:sz w:val="21"/>
                <w:szCs w:val="21"/>
              </w:rPr>
              <w:t>符合第二章“参选人须知”4.5 条规定</w:t>
            </w:r>
          </w:p>
        </w:tc>
      </w:tr>
      <w:tr w14:paraId="511B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82" w:type="dxa"/>
            <w:vMerge w:val="continue"/>
          </w:tcPr>
          <w:p w14:paraId="3A07EBD1">
            <w:pPr>
              <w:spacing w:line="360" w:lineRule="auto"/>
              <w:ind w:firstLine="0" w:firstLineChars="0"/>
              <w:jc w:val="center"/>
              <w:rPr>
                <w:rFonts w:ascii="宋体" w:hAnsi="宋体" w:cs="宋体"/>
                <w:sz w:val="21"/>
                <w:szCs w:val="21"/>
              </w:rPr>
            </w:pPr>
          </w:p>
        </w:tc>
        <w:tc>
          <w:tcPr>
            <w:tcW w:w="1253" w:type="dxa"/>
            <w:vMerge w:val="continue"/>
          </w:tcPr>
          <w:p w14:paraId="6538A982">
            <w:pPr>
              <w:spacing w:line="360" w:lineRule="auto"/>
              <w:ind w:firstLine="0" w:firstLineChars="0"/>
              <w:jc w:val="center"/>
              <w:rPr>
                <w:rFonts w:ascii="宋体" w:hAnsi="宋体" w:cs="宋体"/>
                <w:sz w:val="21"/>
                <w:szCs w:val="21"/>
              </w:rPr>
            </w:pPr>
          </w:p>
        </w:tc>
        <w:tc>
          <w:tcPr>
            <w:tcW w:w="1753" w:type="dxa"/>
            <w:vAlign w:val="center"/>
          </w:tcPr>
          <w:p w14:paraId="55CF4AFC">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参选方案唯一</w:t>
            </w:r>
          </w:p>
        </w:tc>
        <w:tc>
          <w:tcPr>
            <w:tcW w:w="5476" w:type="dxa"/>
            <w:vAlign w:val="center"/>
          </w:tcPr>
          <w:p w14:paraId="14A51485">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只能有一个方案参选。</w:t>
            </w:r>
          </w:p>
        </w:tc>
      </w:tr>
      <w:tr w14:paraId="49FFE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82" w:type="dxa"/>
            <w:vMerge w:val="continue"/>
          </w:tcPr>
          <w:p w14:paraId="3B9A85E4">
            <w:pPr>
              <w:spacing w:line="360" w:lineRule="auto"/>
              <w:ind w:firstLine="0" w:firstLineChars="0"/>
              <w:jc w:val="center"/>
              <w:rPr>
                <w:rFonts w:ascii="宋体" w:hAnsi="宋体" w:cs="宋体"/>
                <w:sz w:val="21"/>
                <w:szCs w:val="21"/>
              </w:rPr>
            </w:pPr>
          </w:p>
        </w:tc>
        <w:tc>
          <w:tcPr>
            <w:tcW w:w="1253" w:type="dxa"/>
            <w:vMerge w:val="continue"/>
          </w:tcPr>
          <w:p w14:paraId="0EA96113">
            <w:pPr>
              <w:spacing w:line="360" w:lineRule="auto"/>
              <w:ind w:firstLine="0" w:firstLineChars="0"/>
              <w:jc w:val="center"/>
              <w:rPr>
                <w:rFonts w:ascii="宋体" w:hAnsi="宋体" w:cs="宋体"/>
                <w:sz w:val="21"/>
                <w:szCs w:val="21"/>
              </w:rPr>
            </w:pPr>
          </w:p>
        </w:tc>
        <w:tc>
          <w:tcPr>
            <w:tcW w:w="1753" w:type="dxa"/>
            <w:vAlign w:val="center"/>
          </w:tcPr>
          <w:p w14:paraId="142AF2D4">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参选报价</w:t>
            </w:r>
          </w:p>
        </w:tc>
        <w:tc>
          <w:tcPr>
            <w:tcW w:w="5476" w:type="dxa"/>
            <w:vAlign w:val="center"/>
          </w:tcPr>
          <w:p w14:paraId="1D3E20F1">
            <w:pPr>
              <w:adjustRightInd w:val="0"/>
              <w:snapToGrid w:val="0"/>
              <w:spacing w:line="360" w:lineRule="auto"/>
              <w:ind w:firstLine="0" w:firstLineChars="0"/>
              <w:rPr>
                <w:rFonts w:ascii="宋体" w:hAnsi="宋体" w:cs="宋体"/>
                <w:kern w:val="0"/>
                <w:sz w:val="21"/>
                <w:szCs w:val="21"/>
              </w:rPr>
            </w:pPr>
            <w:r>
              <w:rPr>
                <w:rFonts w:hint="eastAsia" w:ascii="宋体" w:hAnsi="宋体" w:cs="宋体"/>
                <w:kern w:val="0"/>
                <w:sz w:val="21"/>
                <w:szCs w:val="21"/>
              </w:rPr>
              <w:t>符合第二章“参选人须知”4.7 条规定</w:t>
            </w:r>
          </w:p>
        </w:tc>
      </w:tr>
      <w:tr w14:paraId="07A5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82" w:type="dxa"/>
            <w:vMerge w:val="continue"/>
          </w:tcPr>
          <w:p w14:paraId="52252676">
            <w:pPr>
              <w:spacing w:line="360" w:lineRule="auto"/>
              <w:ind w:firstLine="0" w:firstLineChars="0"/>
              <w:jc w:val="center"/>
              <w:rPr>
                <w:rFonts w:ascii="宋体" w:hAnsi="宋体" w:cs="宋体"/>
                <w:sz w:val="21"/>
                <w:szCs w:val="21"/>
              </w:rPr>
            </w:pPr>
          </w:p>
        </w:tc>
        <w:tc>
          <w:tcPr>
            <w:tcW w:w="1253" w:type="dxa"/>
            <w:vMerge w:val="continue"/>
          </w:tcPr>
          <w:p w14:paraId="7B3E5B55">
            <w:pPr>
              <w:spacing w:line="360" w:lineRule="auto"/>
              <w:ind w:firstLine="0" w:firstLineChars="0"/>
              <w:jc w:val="center"/>
              <w:rPr>
                <w:rFonts w:ascii="宋体" w:hAnsi="宋体" w:cs="宋体"/>
                <w:sz w:val="21"/>
                <w:szCs w:val="21"/>
              </w:rPr>
            </w:pPr>
          </w:p>
        </w:tc>
        <w:tc>
          <w:tcPr>
            <w:tcW w:w="1753" w:type="dxa"/>
            <w:vAlign w:val="center"/>
          </w:tcPr>
          <w:p w14:paraId="3F4F0522">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参选有效期</w:t>
            </w:r>
          </w:p>
        </w:tc>
        <w:tc>
          <w:tcPr>
            <w:tcW w:w="5476" w:type="dxa"/>
          </w:tcPr>
          <w:p w14:paraId="111AB484">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符合第二章“参选人须知”4.3 条规定</w:t>
            </w:r>
          </w:p>
        </w:tc>
      </w:tr>
      <w:tr w14:paraId="5DCF6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82" w:type="dxa"/>
            <w:vMerge w:val="continue"/>
          </w:tcPr>
          <w:p w14:paraId="2B9F7D03">
            <w:pPr>
              <w:spacing w:line="360" w:lineRule="auto"/>
              <w:ind w:firstLine="0" w:firstLineChars="0"/>
              <w:jc w:val="center"/>
              <w:rPr>
                <w:rFonts w:ascii="宋体" w:hAnsi="宋体" w:cs="宋体"/>
                <w:sz w:val="21"/>
                <w:szCs w:val="21"/>
              </w:rPr>
            </w:pPr>
          </w:p>
        </w:tc>
        <w:tc>
          <w:tcPr>
            <w:tcW w:w="1253" w:type="dxa"/>
            <w:vMerge w:val="continue"/>
          </w:tcPr>
          <w:p w14:paraId="06D50714">
            <w:pPr>
              <w:spacing w:line="360" w:lineRule="auto"/>
              <w:ind w:firstLine="0" w:firstLineChars="0"/>
              <w:jc w:val="center"/>
              <w:rPr>
                <w:rFonts w:ascii="宋体" w:hAnsi="宋体" w:cs="宋体"/>
                <w:sz w:val="21"/>
                <w:szCs w:val="21"/>
              </w:rPr>
            </w:pPr>
          </w:p>
        </w:tc>
        <w:tc>
          <w:tcPr>
            <w:tcW w:w="1753" w:type="dxa"/>
            <w:vAlign w:val="center"/>
          </w:tcPr>
          <w:p w14:paraId="169F4DB5">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参选保证金</w:t>
            </w:r>
          </w:p>
        </w:tc>
        <w:tc>
          <w:tcPr>
            <w:tcW w:w="5476" w:type="dxa"/>
          </w:tcPr>
          <w:p w14:paraId="5C9BA9EB">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符合第二章“参选人须知”4.4 条规定</w:t>
            </w:r>
          </w:p>
        </w:tc>
      </w:tr>
      <w:tr w14:paraId="24E7C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35" w:hRule="atLeast"/>
          <w:jc w:val="center"/>
        </w:trPr>
        <w:tc>
          <w:tcPr>
            <w:tcW w:w="982" w:type="dxa"/>
            <w:vAlign w:val="center"/>
          </w:tcPr>
          <w:p w14:paraId="650C867C">
            <w:pPr>
              <w:spacing w:line="360" w:lineRule="auto"/>
              <w:ind w:firstLine="0" w:firstLineChars="0"/>
              <w:jc w:val="center"/>
              <w:rPr>
                <w:rFonts w:ascii="宋体" w:hAnsi="宋体" w:cs="宋体"/>
                <w:kern w:val="0"/>
                <w:sz w:val="21"/>
                <w:szCs w:val="21"/>
              </w:rPr>
            </w:pPr>
            <w:r>
              <w:rPr>
                <w:rFonts w:hint="eastAsia" w:ascii="宋体" w:hAnsi="宋体" w:cs="宋体"/>
                <w:sz w:val="21"/>
                <w:szCs w:val="21"/>
              </w:rPr>
              <w:t>3</w:t>
            </w:r>
          </w:p>
        </w:tc>
        <w:tc>
          <w:tcPr>
            <w:tcW w:w="1253" w:type="dxa"/>
            <w:vAlign w:val="center"/>
          </w:tcPr>
          <w:p w14:paraId="40E9ECCB">
            <w:pPr>
              <w:spacing w:line="360" w:lineRule="auto"/>
              <w:ind w:firstLine="0" w:firstLineChars="0"/>
              <w:jc w:val="center"/>
              <w:rPr>
                <w:rFonts w:ascii="宋体" w:hAnsi="宋体" w:cs="宋体"/>
                <w:kern w:val="0"/>
                <w:sz w:val="21"/>
                <w:szCs w:val="21"/>
              </w:rPr>
            </w:pPr>
            <w:r>
              <w:rPr>
                <w:rFonts w:hint="eastAsia" w:ascii="宋体" w:hAnsi="宋体" w:cs="宋体"/>
                <w:sz w:val="21"/>
                <w:szCs w:val="21"/>
              </w:rPr>
              <w:t>评审程序</w:t>
            </w:r>
          </w:p>
        </w:tc>
        <w:tc>
          <w:tcPr>
            <w:tcW w:w="7229" w:type="dxa"/>
            <w:gridSpan w:val="2"/>
          </w:tcPr>
          <w:p w14:paraId="30C9BD3A">
            <w:pPr>
              <w:spacing w:line="360" w:lineRule="auto"/>
              <w:ind w:firstLine="0" w:firstLineChars="0"/>
              <w:rPr>
                <w:rFonts w:ascii="宋体" w:hAnsi="宋体" w:cs="宋体"/>
                <w:kern w:val="0"/>
                <w:sz w:val="21"/>
                <w:szCs w:val="21"/>
              </w:rPr>
            </w:pPr>
            <w:r>
              <w:rPr>
                <w:rFonts w:hint="eastAsia" w:ascii="宋体" w:hAnsi="宋体" w:cs="宋体"/>
                <w:kern w:val="0"/>
                <w:sz w:val="21"/>
                <w:szCs w:val="21"/>
              </w:rPr>
              <w:t>1.评审委员会所有参选文件进行符合性审查</w:t>
            </w:r>
          </w:p>
          <w:p w14:paraId="55F06B8D">
            <w:pPr>
              <w:spacing w:line="360" w:lineRule="auto"/>
              <w:ind w:firstLine="0" w:firstLineChars="0"/>
              <w:rPr>
                <w:rFonts w:ascii="宋体" w:hAnsi="宋体" w:cs="宋体"/>
                <w:kern w:val="0"/>
                <w:sz w:val="21"/>
                <w:szCs w:val="21"/>
              </w:rPr>
            </w:pPr>
            <w:r>
              <w:rPr>
                <w:rFonts w:hint="eastAsia" w:ascii="宋体" w:hAnsi="宋体" w:cs="宋体"/>
                <w:kern w:val="0"/>
                <w:sz w:val="21"/>
                <w:szCs w:val="21"/>
              </w:rPr>
              <w:t>2.评审委员会对通过符合性审查的参选文件进行报价排序，按</w:t>
            </w:r>
            <w:r>
              <w:rPr>
                <w:rFonts w:hint="eastAsia" w:ascii="宋体" w:hAnsi="宋体" w:cs="宋体"/>
                <w:b/>
                <w:bCs/>
                <w:kern w:val="0"/>
                <w:sz w:val="21"/>
                <w:szCs w:val="21"/>
                <w:lang w:val="en-US" w:eastAsia="zh-CN"/>
              </w:rPr>
              <w:t>不含税</w:t>
            </w:r>
            <w:r>
              <w:rPr>
                <w:rFonts w:hint="eastAsia" w:ascii="宋体" w:hAnsi="宋体" w:cs="宋体"/>
                <w:b/>
                <w:bCs/>
                <w:kern w:val="0"/>
                <w:sz w:val="21"/>
                <w:szCs w:val="21"/>
              </w:rPr>
              <w:t>报价</w:t>
            </w:r>
            <w:r>
              <w:rPr>
                <w:rFonts w:hint="eastAsia" w:ascii="宋体" w:hAnsi="宋体" w:cs="宋体"/>
                <w:kern w:val="0"/>
                <w:sz w:val="21"/>
                <w:szCs w:val="21"/>
              </w:rPr>
              <w:t>由低到高推荐1-3名中选候选人。</w:t>
            </w:r>
          </w:p>
          <w:p w14:paraId="18E349E2">
            <w:pPr>
              <w:spacing w:line="360" w:lineRule="auto"/>
              <w:ind w:firstLine="0" w:firstLineChars="0"/>
              <w:rPr>
                <w:rFonts w:ascii="宋体" w:hAnsi="宋体" w:cs="宋体"/>
                <w:sz w:val="21"/>
                <w:szCs w:val="21"/>
              </w:rPr>
            </w:pPr>
            <w:r>
              <w:rPr>
                <w:rFonts w:hint="eastAsia" w:ascii="宋体" w:hAnsi="宋体" w:cs="宋体"/>
                <w:kern w:val="0"/>
                <w:sz w:val="21"/>
                <w:szCs w:val="21"/>
                <w:lang w:val="en-US" w:eastAsia="zh-CN"/>
              </w:rPr>
              <w:t>不含税</w:t>
            </w:r>
            <w:r>
              <w:rPr>
                <w:rFonts w:hint="eastAsia" w:ascii="宋体" w:hAnsi="宋体" w:cs="宋体"/>
                <w:kern w:val="0"/>
                <w:sz w:val="21"/>
                <w:szCs w:val="21"/>
              </w:rPr>
              <w:t>报价最低的成为第一中选候选人，</w:t>
            </w:r>
            <w:r>
              <w:rPr>
                <w:rFonts w:hint="eastAsia" w:ascii="宋体" w:hAnsi="宋体" w:cs="宋体"/>
                <w:kern w:val="0"/>
                <w:sz w:val="21"/>
                <w:szCs w:val="21"/>
                <w:lang w:val="en-US" w:eastAsia="zh-CN"/>
              </w:rPr>
              <w:t>不含税</w:t>
            </w:r>
            <w:r>
              <w:rPr>
                <w:rFonts w:hint="eastAsia" w:ascii="宋体" w:hAnsi="宋体" w:cs="宋体"/>
                <w:kern w:val="0"/>
                <w:sz w:val="21"/>
                <w:szCs w:val="21"/>
              </w:rPr>
              <w:t>报价次低的成为第二中选候选人，依次类推，推荐1-3名中选候选人。</w:t>
            </w:r>
          </w:p>
        </w:tc>
      </w:tr>
      <w:tr w14:paraId="40524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982" w:type="dxa"/>
            <w:vAlign w:val="center"/>
          </w:tcPr>
          <w:p w14:paraId="414286C9">
            <w:pPr>
              <w:spacing w:line="360" w:lineRule="auto"/>
              <w:ind w:firstLine="0" w:firstLineChars="0"/>
              <w:jc w:val="center"/>
              <w:rPr>
                <w:rFonts w:ascii="宋体" w:hAnsi="宋体" w:cs="宋体"/>
                <w:sz w:val="21"/>
                <w:szCs w:val="21"/>
              </w:rPr>
            </w:pPr>
            <w:r>
              <w:rPr>
                <w:rFonts w:hint="eastAsia" w:ascii="宋体" w:hAnsi="宋体" w:cs="宋体"/>
                <w:sz w:val="21"/>
                <w:szCs w:val="21"/>
              </w:rPr>
              <w:t>3.4</w:t>
            </w:r>
          </w:p>
        </w:tc>
        <w:tc>
          <w:tcPr>
            <w:tcW w:w="1253" w:type="dxa"/>
            <w:vAlign w:val="center"/>
          </w:tcPr>
          <w:p w14:paraId="4660FA9F">
            <w:pPr>
              <w:spacing w:line="360" w:lineRule="auto"/>
              <w:ind w:firstLine="0" w:firstLineChars="0"/>
              <w:jc w:val="center"/>
              <w:rPr>
                <w:rFonts w:ascii="宋体" w:hAnsi="宋体" w:cs="宋体"/>
                <w:sz w:val="21"/>
                <w:szCs w:val="21"/>
              </w:rPr>
            </w:pPr>
            <w:r>
              <w:rPr>
                <w:rFonts w:hint="eastAsia" w:ascii="宋体" w:hAnsi="宋体" w:cs="宋体"/>
                <w:sz w:val="21"/>
                <w:szCs w:val="21"/>
              </w:rPr>
              <w:t>评审结果</w:t>
            </w:r>
          </w:p>
        </w:tc>
        <w:tc>
          <w:tcPr>
            <w:tcW w:w="7229" w:type="dxa"/>
            <w:gridSpan w:val="2"/>
            <w:vAlign w:val="center"/>
          </w:tcPr>
          <w:p w14:paraId="11FE4186">
            <w:pPr>
              <w:adjustRightInd w:val="0"/>
              <w:snapToGrid w:val="0"/>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3.</w:t>
            </w:r>
            <w:r>
              <w:rPr>
                <w:rFonts w:hint="eastAsia" w:ascii="宋体" w:hAnsi="宋体" w:cs="宋体"/>
                <w:spacing w:val="-1"/>
                <w:kern w:val="0"/>
                <w:sz w:val="21"/>
                <w:szCs w:val="21"/>
              </w:rPr>
              <w:t>4</w:t>
            </w:r>
            <w:r>
              <w:rPr>
                <w:rFonts w:hint="eastAsia" w:ascii="宋体" w:hAnsi="宋体" w:cs="宋体"/>
                <w:kern w:val="0"/>
                <w:sz w:val="21"/>
                <w:szCs w:val="21"/>
              </w:rPr>
              <w:t>.1 评审</w:t>
            </w:r>
            <w:r>
              <w:rPr>
                <w:rFonts w:hint="eastAsia" w:ascii="宋体" w:hAnsi="宋体" w:cs="宋体"/>
                <w:spacing w:val="1"/>
                <w:kern w:val="0"/>
                <w:sz w:val="21"/>
                <w:szCs w:val="21"/>
              </w:rPr>
              <w:t>委</w:t>
            </w:r>
            <w:r>
              <w:rPr>
                <w:rFonts w:hint="eastAsia" w:ascii="宋体" w:hAnsi="宋体" w:cs="宋体"/>
                <w:kern w:val="0"/>
                <w:sz w:val="21"/>
                <w:szCs w:val="21"/>
              </w:rPr>
              <w:t>员会按经评审的最低价法推荐中选候选人。</w:t>
            </w:r>
          </w:p>
          <w:p w14:paraId="643BAC3B">
            <w:pPr>
              <w:spacing w:line="360" w:lineRule="auto"/>
              <w:ind w:firstLine="0" w:firstLineChars="0"/>
              <w:jc w:val="left"/>
              <w:rPr>
                <w:rFonts w:ascii="宋体" w:hAnsi="宋体" w:cs="宋体"/>
                <w:sz w:val="21"/>
                <w:szCs w:val="21"/>
              </w:rPr>
            </w:pPr>
            <w:r>
              <w:rPr>
                <w:rFonts w:hint="eastAsia" w:ascii="宋体" w:hAnsi="宋体" w:cs="宋体"/>
                <w:spacing w:val="1"/>
                <w:kern w:val="0"/>
                <w:sz w:val="21"/>
                <w:szCs w:val="21"/>
              </w:rPr>
              <w:t>3</w:t>
            </w:r>
            <w:r>
              <w:rPr>
                <w:rFonts w:hint="eastAsia" w:ascii="宋体" w:hAnsi="宋体" w:cs="宋体"/>
                <w:kern w:val="0"/>
                <w:sz w:val="21"/>
                <w:szCs w:val="21"/>
              </w:rPr>
              <w:t>.4.2 评审</w:t>
            </w:r>
            <w:r>
              <w:rPr>
                <w:rFonts w:hint="eastAsia" w:ascii="宋体" w:hAnsi="宋体" w:cs="宋体"/>
                <w:spacing w:val="-1"/>
                <w:kern w:val="0"/>
                <w:sz w:val="21"/>
                <w:szCs w:val="21"/>
              </w:rPr>
              <w:t>委</w:t>
            </w:r>
            <w:r>
              <w:rPr>
                <w:rFonts w:hint="eastAsia" w:ascii="宋体" w:hAnsi="宋体" w:cs="宋体"/>
                <w:kern w:val="0"/>
                <w:sz w:val="21"/>
                <w:szCs w:val="21"/>
              </w:rPr>
              <w:t>员会完成评审后，应当向比选人提交书面评审报告。</w:t>
            </w:r>
          </w:p>
        </w:tc>
      </w:tr>
    </w:tbl>
    <w:p w14:paraId="5060C1F9">
      <w:pPr>
        <w:ind w:firstLine="420"/>
        <w:rPr>
          <w:rFonts w:ascii="宋体" w:hAnsi="宋体" w:cs="宋体"/>
          <w:snapToGrid w:val="0"/>
          <w:sz w:val="21"/>
          <w:szCs w:val="21"/>
        </w:rPr>
      </w:pPr>
      <w:r>
        <w:rPr>
          <w:rFonts w:hint="eastAsia" w:ascii="宋体" w:hAnsi="宋体" w:cs="宋体"/>
          <w:snapToGrid w:val="0"/>
          <w:sz w:val="21"/>
          <w:szCs w:val="21"/>
        </w:rPr>
        <w:br w:type="page"/>
      </w:r>
    </w:p>
    <w:bookmarkEnd w:id="70"/>
    <w:p w14:paraId="5F40D6CE">
      <w:pPr>
        <w:pStyle w:val="3"/>
      </w:pPr>
      <w:bookmarkStart w:id="71" w:name="_Toc2724"/>
      <w:bookmarkStart w:id="72" w:name="_Toc25275"/>
      <w:bookmarkStart w:id="73" w:name="_Toc32646"/>
      <w:bookmarkStart w:id="74" w:name="_Toc150953074"/>
      <w:bookmarkStart w:id="75" w:name="_Toc303066034"/>
      <w:bookmarkStart w:id="76" w:name="_Toc89675170"/>
      <w:r>
        <w:t>1.</w:t>
      </w:r>
      <w:r>
        <w:rPr>
          <w:rFonts w:hint="eastAsia"/>
        </w:rPr>
        <w:t xml:space="preserve"> 评审</w:t>
      </w:r>
      <w:r>
        <w:t>方法</w:t>
      </w:r>
      <w:bookmarkEnd w:id="71"/>
      <w:bookmarkEnd w:id="72"/>
      <w:bookmarkEnd w:id="73"/>
    </w:p>
    <w:p w14:paraId="5AC37C19">
      <w:pPr>
        <w:ind w:firstLine="480"/>
        <w:rPr>
          <w:rFonts w:hint="eastAsia"/>
        </w:rPr>
      </w:pPr>
      <w:r>
        <w:rPr>
          <w:rFonts w:hint="eastAsia"/>
        </w:rPr>
        <w:t>本次评审采用经评审的最低价法，评审委员会按照评审办法前附表第2.1 条进行符合性审查，再按照评审办法前附表第2.2 条进行报价排序，符合性审查合格的参选人中按报价由低到高推荐中选候选人。若出现参选人参选报价相同的，以评审办法前附表约定的原则确定排序。</w:t>
      </w:r>
    </w:p>
    <w:p w14:paraId="759F01A0">
      <w:pPr>
        <w:pStyle w:val="3"/>
      </w:pPr>
      <w:bookmarkStart w:id="77" w:name="_Toc15579"/>
      <w:bookmarkStart w:id="78" w:name="_Toc10761"/>
      <w:bookmarkStart w:id="79" w:name="_Toc2555"/>
      <w:r>
        <w:t>2.</w:t>
      </w:r>
      <w:r>
        <w:rPr>
          <w:rFonts w:hint="eastAsia"/>
        </w:rPr>
        <w:t xml:space="preserve"> </w:t>
      </w:r>
      <w:r>
        <w:t>评审标准</w:t>
      </w:r>
      <w:bookmarkEnd w:id="77"/>
      <w:bookmarkEnd w:id="78"/>
      <w:bookmarkEnd w:id="79"/>
    </w:p>
    <w:p w14:paraId="61F69276">
      <w:pPr>
        <w:pStyle w:val="4"/>
        <w:ind w:firstLine="482"/>
        <w:rPr>
          <w:rFonts w:hint="eastAsia"/>
        </w:rPr>
      </w:pPr>
      <w:bookmarkStart w:id="80" w:name="_Toc15271"/>
      <w:r>
        <w:t>2.</w:t>
      </w:r>
      <w:r>
        <w:rPr>
          <w:rFonts w:hint="eastAsia"/>
        </w:rPr>
        <w:t>1 符合性审查标准</w:t>
      </w:r>
      <w:bookmarkEnd w:id="80"/>
    </w:p>
    <w:p w14:paraId="12C50754">
      <w:pPr>
        <w:ind w:firstLine="480"/>
        <w:rPr>
          <w:rFonts w:hint="eastAsia"/>
        </w:rPr>
      </w:pPr>
      <w:r>
        <w:rPr>
          <w:rFonts w:hint="eastAsia"/>
        </w:rPr>
        <w:t>按评审办法前附表约定的审查标准进行符合性审查。符合性审查内容：资格评审、形式评审、响应性评审。</w:t>
      </w:r>
    </w:p>
    <w:p w14:paraId="1284DE89">
      <w:pPr>
        <w:ind w:firstLine="480"/>
        <w:rPr>
          <w:rFonts w:hint="eastAsia"/>
        </w:rPr>
      </w:pPr>
      <w:r>
        <w:t>2.</w:t>
      </w:r>
      <w:r>
        <w:rPr>
          <w:rFonts w:hint="eastAsia"/>
        </w:rPr>
        <w:t>1</w:t>
      </w:r>
      <w:r>
        <w:t>.</w:t>
      </w:r>
      <w:r>
        <w:rPr>
          <w:rFonts w:hint="eastAsia"/>
        </w:rPr>
        <w:t>1 资格评审标准：见评审办法前附表。</w:t>
      </w:r>
    </w:p>
    <w:p w14:paraId="7ED40C19">
      <w:pPr>
        <w:ind w:firstLine="480"/>
        <w:rPr>
          <w:rFonts w:hint="eastAsia"/>
        </w:rPr>
      </w:pPr>
      <w:r>
        <w:t>2.</w:t>
      </w:r>
      <w:r>
        <w:rPr>
          <w:rFonts w:hint="eastAsia"/>
        </w:rPr>
        <w:t>1</w:t>
      </w:r>
      <w:r>
        <w:t>.</w:t>
      </w:r>
      <w:r>
        <w:rPr>
          <w:rFonts w:hint="eastAsia"/>
        </w:rPr>
        <w:t>2 形式评审标准：见评审办法前附表。</w:t>
      </w:r>
    </w:p>
    <w:p w14:paraId="5AAEB9F8">
      <w:pPr>
        <w:ind w:firstLine="480"/>
        <w:rPr>
          <w:rFonts w:hint="eastAsia"/>
        </w:rPr>
      </w:pPr>
      <w:r>
        <w:t>2.</w:t>
      </w:r>
      <w:r>
        <w:rPr>
          <w:rFonts w:hint="eastAsia"/>
        </w:rPr>
        <w:t>1</w:t>
      </w:r>
      <w:r>
        <w:t>.</w:t>
      </w:r>
      <w:r>
        <w:rPr>
          <w:rFonts w:hint="eastAsia"/>
        </w:rPr>
        <w:t>3 响应性评审标准：见评审办法前附表。</w:t>
      </w:r>
    </w:p>
    <w:p w14:paraId="78EF1CF5">
      <w:pPr>
        <w:pStyle w:val="4"/>
        <w:ind w:firstLine="482"/>
        <w:rPr>
          <w:rFonts w:hint="eastAsia"/>
        </w:rPr>
      </w:pPr>
      <w:r>
        <w:t>2.</w:t>
      </w:r>
      <w:r>
        <w:rPr>
          <w:rFonts w:hint="eastAsia"/>
        </w:rPr>
        <w:t>2 报价</w:t>
      </w:r>
      <w:r>
        <w:t>排序</w:t>
      </w:r>
      <w:r>
        <w:rPr>
          <w:rFonts w:hint="eastAsia"/>
        </w:rPr>
        <w:t>标准</w:t>
      </w:r>
    </w:p>
    <w:p w14:paraId="12A208ED">
      <w:pPr>
        <w:ind w:firstLine="480"/>
        <w:rPr>
          <w:rFonts w:hint="eastAsia"/>
        </w:rPr>
      </w:pPr>
      <w:r>
        <w:rPr>
          <w:rFonts w:hint="eastAsia"/>
        </w:rPr>
        <w:t>见评审办法前附表。</w:t>
      </w:r>
    </w:p>
    <w:p w14:paraId="3D10BE8B">
      <w:pPr>
        <w:pStyle w:val="3"/>
      </w:pPr>
      <w:bookmarkStart w:id="81" w:name="_Toc26445"/>
      <w:bookmarkStart w:id="82" w:name="_Toc26015"/>
      <w:bookmarkStart w:id="83" w:name="_Toc7105"/>
      <w:r>
        <w:t>3.</w:t>
      </w:r>
      <w:r>
        <w:rPr>
          <w:rFonts w:hint="eastAsia"/>
        </w:rPr>
        <w:t xml:space="preserve"> 评审</w:t>
      </w:r>
      <w:r>
        <w:t>程序</w:t>
      </w:r>
      <w:bookmarkEnd w:id="81"/>
      <w:bookmarkEnd w:id="82"/>
      <w:bookmarkEnd w:id="83"/>
    </w:p>
    <w:p w14:paraId="0C9D84F2">
      <w:pPr>
        <w:pStyle w:val="4"/>
        <w:ind w:firstLine="482"/>
        <w:rPr>
          <w:rFonts w:hint="eastAsia"/>
        </w:rPr>
      </w:pPr>
      <w:bookmarkStart w:id="84" w:name="_Toc19164"/>
      <w:r>
        <w:t>3.</w:t>
      </w:r>
      <w:r>
        <w:rPr>
          <w:rFonts w:hint="eastAsia"/>
        </w:rPr>
        <w:t>1 符合性审查</w:t>
      </w:r>
      <w:bookmarkEnd w:id="84"/>
    </w:p>
    <w:p w14:paraId="0C463A6D">
      <w:pPr>
        <w:ind w:firstLine="480"/>
        <w:rPr>
          <w:rFonts w:hint="eastAsia"/>
        </w:rPr>
      </w:pPr>
      <w:r>
        <w:t>3.</w:t>
      </w:r>
      <w:r>
        <w:rPr>
          <w:rFonts w:hint="eastAsia"/>
        </w:rPr>
        <w:t>1</w:t>
      </w:r>
      <w:r>
        <w:t>.1</w:t>
      </w:r>
      <w:r>
        <w:rPr>
          <w:rFonts w:hint="eastAsia"/>
        </w:rPr>
        <w:t xml:space="preserve"> 评审</w:t>
      </w:r>
      <w:r>
        <w:t>委员会依据本章第2.</w:t>
      </w:r>
      <w:r>
        <w:rPr>
          <w:rFonts w:hint="eastAsia"/>
        </w:rPr>
        <w:t>1</w:t>
      </w:r>
      <w:r>
        <w:t xml:space="preserve"> </w:t>
      </w:r>
      <w:r>
        <w:rPr>
          <w:rFonts w:hint="eastAsia"/>
        </w:rPr>
        <w:t>条规定的标准对参选文件进行符合性审查。符合性审查顺序：资格评审、形式评审、响应性评审。</w:t>
      </w:r>
    </w:p>
    <w:p w14:paraId="584BFCBF">
      <w:pPr>
        <w:ind w:firstLine="480"/>
        <w:rPr>
          <w:rFonts w:hint="eastAsia"/>
        </w:rPr>
      </w:pPr>
      <w:r>
        <w:rPr>
          <w:rFonts w:hint="eastAsia"/>
        </w:rPr>
        <w:t>有一项不符合评审标准的，作否决参选处理。</w:t>
      </w:r>
    </w:p>
    <w:p w14:paraId="35DC28BE">
      <w:pPr>
        <w:ind w:firstLine="480"/>
        <w:rPr>
          <w:rFonts w:hint="eastAsia"/>
        </w:rPr>
      </w:pPr>
      <w:r>
        <w:t>3.</w:t>
      </w:r>
      <w:r>
        <w:rPr>
          <w:rFonts w:hint="eastAsia"/>
        </w:rPr>
        <w:t>1</w:t>
      </w:r>
      <w:r>
        <w:t xml:space="preserve">.2 </w:t>
      </w:r>
      <w:r>
        <w:rPr>
          <w:rFonts w:hint="eastAsia"/>
        </w:rPr>
        <w:t>参选人</w:t>
      </w:r>
      <w:r>
        <w:t>有以下情形之一的，</w:t>
      </w:r>
      <w:r>
        <w:rPr>
          <w:rFonts w:hint="eastAsia"/>
        </w:rPr>
        <w:t>其参选文件将被否决：</w:t>
      </w:r>
    </w:p>
    <w:p w14:paraId="02FC36B2">
      <w:pPr>
        <w:ind w:firstLine="480"/>
        <w:rPr>
          <w:rFonts w:hint="eastAsia"/>
        </w:rPr>
      </w:pPr>
      <w:r>
        <w:rPr>
          <w:rFonts w:hint="eastAsia"/>
        </w:rPr>
        <w:t>3.1.2.1 有</w:t>
      </w:r>
      <w:r>
        <w:t>第二章“</w:t>
      </w:r>
      <w:r>
        <w:rPr>
          <w:rFonts w:hint="eastAsia"/>
        </w:rPr>
        <w:t>参选人</w:t>
      </w:r>
      <w:r>
        <w:t>须知”第</w:t>
      </w:r>
      <w:r>
        <w:rPr>
          <w:rFonts w:hint="eastAsia"/>
        </w:rPr>
        <w:t>9 条以及第11 条</w:t>
      </w:r>
      <w:r>
        <w:t>规定的任何一种情形的；</w:t>
      </w:r>
    </w:p>
    <w:p w14:paraId="21DD7534">
      <w:pPr>
        <w:ind w:firstLine="480"/>
        <w:rPr>
          <w:rFonts w:hint="eastAsia"/>
        </w:rPr>
      </w:pPr>
      <w:r>
        <w:rPr>
          <w:rFonts w:hint="eastAsia"/>
        </w:rPr>
        <w:t>3.1.2.2 有串通参选、弄虚作假等其他违反相关法律、法规行为的；</w:t>
      </w:r>
    </w:p>
    <w:p w14:paraId="3C5B1310">
      <w:pPr>
        <w:ind w:firstLine="480"/>
        <w:rPr>
          <w:rFonts w:hint="eastAsia"/>
        </w:rPr>
      </w:pPr>
      <w:r>
        <w:rPr>
          <w:rFonts w:hint="eastAsia"/>
        </w:rPr>
        <w:t>3.1.2.3 不按评审委员会要求澄清、说明或补正的。</w:t>
      </w:r>
    </w:p>
    <w:p w14:paraId="43F066B5">
      <w:pPr>
        <w:ind w:firstLine="480"/>
        <w:rPr>
          <w:rFonts w:hint="eastAsia"/>
        </w:rPr>
      </w:pPr>
      <w:r>
        <w:rPr>
          <w:rFonts w:hint="eastAsia"/>
        </w:rPr>
        <w:t>3.1.3 参选报价有算术错误的，评审委员会按以下原则对参选报价进行修正，修正的价格经参选人书面确认后具有约束力。参选人不接受修正价格的，其参选作否决参选处理。修正原则见</w:t>
      </w:r>
      <w:r>
        <w:t>第二章“</w:t>
      </w:r>
      <w:r>
        <w:rPr>
          <w:rFonts w:hint="eastAsia"/>
        </w:rPr>
        <w:t>参选人</w:t>
      </w:r>
      <w:r>
        <w:t>须知”第</w:t>
      </w:r>
      <w:r>
        <w:rPr>
          <w:rFonts w:hint="eastAsia"/>
        </w:rPr>
        <w:t>4.8 条。</w:t>
      </w:r>
    </w:p>
    <w:p w14:paraId="403E9454">
      <w:pPr>
        <w:pStyle w:val="4"/>
        <w:ind w:firstLine="482"/>
        <w:rPr>
          <w:rFonts w:hint="eastAsia"/>
        </w:rPr>
      </w:pPr>
      <w:bookmarkStart w:id="85" w:name="_Toc14647"/>
      <w:r>
        <w:t>3.</w:t>
      </w:r>
      <w:r>
        <w:rPr>
          <w:rFonts w:hint="eastAsia"/>
        </w:rPr>
        <w:t>2 报价排序</w:t>
      </w:r>
    </w:p>
    <w:p w14:paraId="2171B93E">
      <w:pPr>
        <w:ind w:firstLine="480"/>
        <w:rPr>
          <w:rFonts w:hint="eastAsia"/>
        </w:rPr>
      </w:pPr>
      <w:r>
        <w:rPr>
          <w:rFonts w:hint="eastAsia"/>
        </w:rPr>
        <w:t>对报价不高于最高限价的所有参选人的参选文件，按照报价由低到高的顺序排序。</w:t>
      </w:r>
    </w:p>
    <w:p w14:paraId="558D02F4">
      <w:pPr>
        <w:pStyle w:val="4"/>
        <w:ind w:firstLine="482"/>
        <w:rPr>
          <w:rFonts w:hint="eastAsia"/>
        </w:rPr>
      </w:pPr>
      <w:r>
        <w:t>3.</w:t>
      </w:r>
      <w:r>
        <w:rPr>
          <w:rFonts w:hint="eastAsia"/>
        </w:rPr>
        <w:t>3</w:t>
      </w:r>
      <w:r>
        <w:t xml:space="preserve"> </w:t>
      </w:r>
      <w:r>
        <w:rPr>
          <w:rFonts w:hint="eastAsia"/>
        </w:rPr>
        <w:t>参选文件的澄清和补正</w:t>
      </w:r>
      <w:bookmarkEnd w:id="85"/>
    </w:p>
    <w:p w14:paraId="75F99D8A">
      <w:pPr>
        <w:ind w:firstLine="480"/>
        <w:rPr>
          <w:rFonts w:hint="eastAsia"/>
        </w:rPr>
      </w:pPr>
      <w:r>
        <w:t>3.</w:t>
      </w:r>
      <w:r>
        <w:rPr>
          <w:rFonts w:hint="eastAsia"/>
        </w:rPr>
        <w:t>3</w:t>
      </w:r>
      <w:r>
        <w:t xml:space="preserve">.1 </w:t>
      </w:r>
      <w:r>
        <w:rPr>
          <w:rFonts w:hint="eastAsia"/>
        </w:rPr>
        <w:t>在评审过程中，评审委员会可以书面形式要求参选人对所提交参选文件中不明确的内容进行书面澄清或说明，或者对细微偏差进行补正。评审委员会不接受参选人主动提出的澄清、说明或补正。</w:t>
      </w:r>
    </w:p>
    <w:p w14:paraId="5660D98F">
      <w:pPr>
        <w:ind w:firstLine="480"/>
        <w:rPr>
          <w:rFonts w:hint="eastAsia"/>
        </w:rPr>
      </w:pPr>
      <w:r>
        <w:t>3.</w:t>
      </w:r>
      <w:r>
        <w:rPr>
          <w:rFonts w:hint="eastAsia"/>
        </w:rPr>
        <w:t>3</w:t>
      </w:r>
      <w:r>
        <w:t xml:space="preserve">.2 </w:t>
      </w:r>
      <w:r>
        <w:rPr>
          <w:rFonts w:hint="eastAsia"/>
        </w:rPr>
        <w:t>澄清、说明和补正不得改变参选文件的实质性内容（算术性错误修正的除外）。参选人的书面澄清、说明和补正属于参选文件的组成部分。</w:t>
      </w:r>
    </w:p>
    <w:p w14:paraId="5F98C304">
      <w:pPr>
        <w:ind w:firstLine="480"/>
        <w:rPr>
          <w:rFonts w:hint="eastAsia"/>
        </w:rPr>
      </w:pPr>
      <w:r>
        <w:t>3.</w:t>
      </w:r>
      <w:r>
        <w:rPr>
          <w:rFonts w:hint="eastAsia"/>
        </w:rPr>
        <w:t>3</w:t>
      </w:r>
      <w:r>
        <w:t xml:space="preserve">.3 </w:t>
      </w:r>
      <w:r>
        <w:rPr>
          <w:rFonts w:hint="eastAsia"/>
        </w:rPr>
        <w:t>评审委员会对参选人提交的澄清、说明或补正有疑问的，可以要求参选人进一步澄清、说明或补正，直至满足评审委员会的要求。</w:t>
      </w:r>
    </w:p>
    <w:p w14:paraId="78E506EA">
      <w:pPr>
        <w:pStyle w:val="4"/>
        <w:ind w:firstLine="482"/>
        <w:rPr>
          <w:rFonts w:hint="eastAsia"/>
        </w:rPr>
      </w:pPr>
      <w:bookmarkStart w:id="86" w:name="_Toc479262406"/>
      <w:bookmarkStart w:id="87" w:name="_Toc25249"/>
      <w:bookmarkStart w:id="88" w:name="_Toc484465184"/>
      <w:r>
        <w:t>3.</w:t>
      </w:r>
      <w:r>
        <w:rPr>
          <w:rFonts w:hint="eastAsia"/>
        </w:rPr>
        <w:t>4</w:t>
      </w:r>
      <w:r>
        <w:t xml:space="preserve"> </w:t>
      </w:r>
      <w:r>
        <w:rPr>
          <w:rFonts w:hint="eastAsia"/>
        </w:rPr>
        <w:t>评审结果</w:t>
      </w:r>
      <w:bookmarkEnd w:id="86"/>
      <w:bookmarkEnd w:id="87"/>
      <w:bookmarkEnd w:id="88"/>
    </w:p>
    <w:p w14:paraId="3816997E">
      <w:pPr>
        <w:ind w:firstLine="480"/>
        <w:rPr>
          <w:rFonts w:hint="eastAsia"/>
        </w:rPr>
      </w:pPr>
      <w:r>
        <w:t>3.</w:t>
      </w:r>
      <w:r>
        <w:rPr>
          <w:rFonts w:hint="eastAsia"/>
        </w:rPr>
        <w:t>4</w:t>
      </w:r>
      <w:r>
        <w:t>.1</w:t>
      </w:r>
      <w:r>
        <w:rPr>
          <w:rFonts w:hint="eastAsia"/>
        </w:rPr>
        <w:t xml:space="preserve"> 评审委员会按经评审的最低价法推荐中选候选人。</w:t>
      </w:r>
    </w:p>
    <w:p w14:paraId="2164A82C">
      <w:pPr>
        <w:ind w:firstLine="480"/>
        <w:rPr>
          <w:rFonts w:hint="eastAsia"/>
        </w:rPr>
      </w:pPr>
      <w:r>
        <w:t>3.</w:t>
      </w:r>
      <w:r>
        <w:rPr>
          <w:rFonts w:hint="eastAsia"/>
        </w:rPr>
        <w:t>4</w:t>
      </w:r>
      <w:r>
        <w:t>.2</w:t>
      </w:r>
      <w:r>
        <w:rPr>
          <w:rFonts w:hint="eastAsia"/>
        </w:rPr>
        <w:t xml:space="preserve"> 评审委员会完成评审后，应当向比选人提交书面评审报告和中选候选人名单。</w:t>
      </w:r>
    </w:p>
    <w:p w14:paraId="3E15C1C4">
      <w:pPr>
        <w:ind w:firstLine="480"/>
        <w:rPr>
          <w:rFonts w:hint="eastAsia"/>
        </w:rPr>
      </w:pPr>
      <w:r>
        <w:rPr>
          <w:rFonts w:hint="eastAsia"/>
        </w:rPr>
        <w:t>3.4.3 有效参选不足两个的，经评审委员会判定，参选人具有相对行业竞争力的，可继续进行评审。</w:t>
      </w:r>
    </w:p>
    <w:p w14:paraId="32D79A2E">
      <w:pPr>
        <w:pStyle w:val="4"/>
        <w:ind w:firstLine="482"/>
        <w:rPr>
          <w:rFonts w:hint="eastAsia"/>
        </w:rPr>
      </w:pPr>
      <w:r>
        <w:rPr>
          <w:rFonts w:hint="eastAsia"/>
        </w:rPr>
        <w:t>3.5 对评审委员会成员的纪律要求</w:t>
      </w:r>
    </w:p>
    <w:p w14:paraId="1B1DAF81">
      <w:pPr>
        <w:ind w:firstLine="480"/>
        <w:rPr>
          <w:rFonts w:hint="eastAsia"/>
        </w:rPr>
      </w:pPr>
      <w:r>
        <w:rPr>
          <w:rFonts w:hint="eastAsia"/>
        </w:rPr>
        <w:t>评审委员会成员不得收受他人的财物或者其它好处，不得向他人透露对参选文件的评审和比较、中选候选人的推荐情况以及评审有关的其他情况。在评审活动中，评审委员会成员不得擅离职守，影响评审程序正常进行，不得使用本比选文件没有规定的评审因素进行评审。</w:t>
      </w:r>
    </w:p>
    <w:p w14:paraId="3716CD37">
      <w:pPr>
        <w:pStyle w:val="4"/>
        <w:ind w:firstLine="482"/>
        <w:rPr>
          <w:rFonts w:hint="eastAsia"/>
        </w:rPr>
      </w:pPr>
      <w:r>
        <w:rPr>
          <w:rFonts w:hint="eastAsia"/>
        </w:rPr>
        <w:t>3.6 对与评审活动有关的工作人员的纪律要求</w:t>
      </w:r>
    </w:p>
    <w:p w14:paraId="00EE80E8">
      <w:pPr>
        <w:ind w:firstLine="480"/>
        <w:rPr>
          <w:rFonts w:hint="eastAsia"/>
        </w:rPr>
      </w:pPr>
      <w:r>
        <w:rPr>
          <w:rFonts w:hint="eastAsia"/>
        </w:rPr>
        <w:t>与评审活动有关的工作人员不得收受他人的财物或者其他好处，不得向他人透漏对参选文件的评审和比较、中选候选人的推荐情况以及与评审有关的其他情况。在评审活动中，与评审活动有关的工作人员不得擅离职守，影响评审程序正常进行。</w:t>
      </w:r>
    </w:p>
    <w:p w14:paraId="168B3DD1">
      <w:pPr>
        <w:ind w:firstLine="420"/>
        <w:rPr>
          <w:rFonts w:ascii="宋体" w:hAnsi="宋体" w:cs="Times New Roman"/>
          <w:kern w:val="0"/>
          <w:sz w:val="21"/>
          <w:szCs w:val="21"/>
        </w:rPr>
      </w:pPr>
      <w:r>
        <w:rPr>
          <w:rFonts w:hint="eastAsia" w:ascii="宋体" w:hAnsi="宋体" w:cs="Times New Roman"/>
          <w:kern w:val="0"/>
          <w:sz w:val="21"/>
          <w:szCs w:val="21"/>
        </w:rPr>
        <w:br w:type="page"/>
      </w:r>
    </w:p>
    <w:p w14:paraId="3929632D">
      <w:pPr>
        <w:pStyle w:val="2"/>
      </w:pPr>
      <w:bookmarkStart w:id="89" w:name="_Toc24278"/>
      <w:bookmarkStart w:id="90" w:name="_Toc16905"/>
      <w:bookmarkStart w:id="91" w:name="_Toc3322"/>
      <w:r>
        <w:rPr>
          <w:rFonts w:hint="eastAsia"/>
        </w:rPr>
        <w:t>第五章 合同</w:t>
      </w:r>
      <w:r>
        <w:t>模板</w:t>
      </w:r>
      <w:bookmarkEnd w:id="74"/>
      <w:bookmarkEnd w:id="89"/>
      <w:bookmarkEnd w:id="90"/>
      <w:bookmarkEnd w:id="91"/>
    </w:p>
    <w:p w14:paraId="04A7F066">
      <w:pPr>
        <w:spacing w:line="240" w:lineRule="auto"/>
        <w:ind w:firstLine="480"/>
        <w:jc w:val="right"/>
        <w:rPr>
          <w:rFonts w:ascii="宋体" w:hAnsi="Times New Roman" w:cs="Times New Roman"/>
          <w:szCs w:val="24"/>
        </w:rPr>
      </w:pPr>
      <w:r>
        <w:rPr>
          <w:rFonts w:hint="eastAsia" w:ascii="宋体" w:hAnsi="Times New Roman" w:cs="Times New Roman"/>
          <w:szCs w:val="24"/>
        </w:rPr>
        <w:t>编号：SXYH202</w:t>
      </w:r>
      <w:r>
        <w:rPr>
          <w:rFonts w:ascii="宋体" w:hAnsi="Times New Roman" w:cs="Times New Roman"/>
          <w:szCs w:val="24"/>
        </w:rPr>
        <w:t>4</w:t>
      </w:r>
      <w:r>
        <w:rPr>
          <w:rFonts w:hint="eastAsia" w:ascii="宋体" w:hAnsi="Times New Roman" w:cs="Times New Roman"/>
          <w:szCs w:val="24"/>
        </w:rPr>
        <w:t>0101003</w:t>
      </w:r>
    </w:p>
    <w:p w14:paraId="78474CD1">
      <w:pPr>
        <w:autoSpaceDE/>
        <w:autoSpaceDN/>
        <w:spacing w:line="240" w:lineRule="auto"/>
        <w:ind w:firstLine="0" w:firstLineChars="0"/>
        <w:jc w:val="center"/>
        <w:rPr>
          <w:rFonts w:ascii="宋体" w:hAnsi="Times New Roman" w:cs="Times New Roman"/>
          <w:b/>
          <w:sz w:val="40"/>
        </w:rPr>
      </w:pPr>
      <w:r>
        <w:rPr>
          <w:rFonts w:hint="eastAsia" w:ascii="宋体" w:hAnsi="Times New Roman" w:cs="Times New Roman"/>
          <w:b/>
          <w:sz w:val="40"/>
        </w:rPr>
        <w:t>重庆三峡银行</w:t>
      </w:r>
      <w:r>
        <w:rPr>
          <w:rFonts w:hint="eastAsia" w:ascii="宋体" w:hAnsi="Times New Roman" w:cs="Times New Roman"/>
          <w:b/>
          <w:sz w:val="40"/>
          <w:u w:val="single"/>
        </w:rPr>
        <w:t xml:space="preserve">       </w:t>
      </w:r>
      <w:r>
        <w:rPr>
          <w:rFonts w:hint="eastAsia" w:ascii="宋体" w:hAnsi="Times New Roman" w:cs="Times New Roman"/>
          <w:b/>
          <w:sz w:val="40"/>
        </w:rPr>
        <w:t>广告制作发布合同</w:t>
      </w:r>
    </w:p>
    <w:p w14:paraId="71F53CFA">
      <w:pPr>
        <w:autoSpaceDE/>
        <w:autoSpaceDN/>
        <w:spacing w:line="240" w:lineRule="auto"/>
        <w:ind w:right="440" w:firstLine="0" w:firstLineChars="0"/>
        <w:jc w:val="right"/>
        <w:rPr>
          <w:rFonts w:ascii="宋体" w:hAnsi="Times New Roman" w:cs="Arial"/>
          <w:sz w:val="22"/>
          <w:szCs w:val="21"/>
        </w:rPr>
      </w:pPr>
    </w:p>
    <w:p w14:paraId="2AB49601">
      <w:pPr>
        <w:autoSpaceDE/>
        <w:autoSpaceDN/>
        <w:snapToGrid w:val="0"/>
        <w:spacing w:line="240" w:lineRule="auto"/>
        <w:ind w:firstLine="480"/>
        <w:rPr>
          <w:rFonts w:ascii="宋体" w:hAnsi="Times New Roman" w:cs="Times New Roman"/>
          <w:szCs w:val="24"/>
        </w:rPr>
      </w:pPr>
    </w:p>
    <w:p w14:paraId="148D8CD5">
      <w:pPr>
        <w:autoSpaceDE/>
        <w:autoSpaceDN/>
        <w:snapToGrid w:val="0"/>
        <w:spacing w:line="240" w:lineRule="auto"/>
        <w:ind w:firstLine="480"/>
        <w:rPr>
          <w:rFonts w:ascii="宋体" w:hAnsi="Times New Roman" w:cs="Times New Roman"/>
          <w:szCs w:val="24"/>
        </w:rPr>
      </w:pPr>
      <w:r>
        <w:rPr>
          <w:rFonts w:hint="eastAsia" w:ascii="宋体" w:hAnsi="Times New Roman" w:cs="Times New Roman"/>
          <w:szCs w:val="24"/>
        </w:rPr>
        <w:t>甲方：重庆三峡银行股份有限公司</w:t>
      </w:r>
      <w:r>
        <w:rPr>
          <w:rFonts w:hint="eastAsia" w:ascii="宋体" w:hAnsi="Times New Roman" w:cs="Times New Roman"/>
          <w:szCs w:val="24"/>
          <w:u w:val="single"/>
        </w:rPr>
        <w:t xml:space="preserve">         </w:t>
      </w:r>
      <w:r>
        <w:rPr>
          <w:rFonts w:hint="eastAsia" w:ascii="宋体" w:hAnsi="Times New Roman" w:cs="Times New Roman"/>
          <w:szCs w:val="24"/>
        </w:rPr>
        <w:t>(下称“甲方”)</w:t>
      </w:r>
    </w:p>
    <w:p w14:paraId="6A65F0F7">
      <w:pPr>
        <w:autoSpaceDE/>
        <w:autoSpaceDN/>
        <w:snapToGrid w:val="0"/>
        <w:spacing w:line="240" w:lineRule="auto"/>
        <w:ind w:firstLine="480"/>
        <w:rPr>
          <w:rFonts w:ascii="宋体" w:hAnsi="Times New Roman" w:cs="Times New Roman"/>
          <w:szCs w:val="24"/>
        </w:rPr>
      </w:pPr>
      <w:r>
        <w:rPr>
          <w:rFonts w:hint="eastAsia" w:ascii="宋体" w:hAnsi="Times New Roman" w:cs="Times New Roman"/>
          <w:szCs w:val="24"/>
        </w:rPr>
        <w:t>乙方：</w:t>
      </w:r>
      <w:r>
        <w:rPr>
          <w:rFonts w:hint="eastAsia" w:ascii="宋体" w:hAnsi="Times New Roman" w:cs="Times New Roman"/>
          <w:szCs w:val="24"/>
          <w:u w:val="single"/>
        </w:rPr>
        <w:t xml:space="preserve">                                 </w:t>
      </w:r>
      <w:r>
        <w:rPr>
          <w:rFonts w:hint="eastAsia" w:ascii="宋体" w:hAnsi="Times New Roman" w:cs="Times New Roman"/>
          <w:szCs w:val="24"/>
        </w:rPr>
        <w:t>(下称“乙方”)</w:t>
      </w:r>
    </w:p>
    <w:p w14:paraId="2EAF0CCF">
      <w:pPr>
        <w:autoSpaceDE/>
        <w:autoSpaceDN/>
        <w:spacing w:line="240" w:lineRule="auto"/>
        <w:ind w:firstLine="480"/>
        <w:rPr>
          <w:rFonts w:ascii="宋体" w:hAnsi="Times New Roman" w:cs="Times New Roman"/>
          <w:szCs w:val="24"/>
        </w:rPr>
      </w:pPr>
    </w:p>
    <w:p w14:paraId="1E8EAD27">
      <w:pPr>
        <w:autoSpaceDE/>
        <w:autoSpaceDN/>
        <w:spacing w:line="240" w:lineRule="auto"/>
        <w:ind w:firstLine="480"/>
        <w:rPr>
          <w:rFonts w:ascii="宋体" w:hAnsi="Times New Roman" w:cs="Times New Roman"/>
          <w:szCs w:val="24"/>
        </w:rPr>
      </w:pPr>
      <w:r>
        <w:rPr>
          <w:rFonts w:hint="eastAsia" w:ascii="宋体" w:hAnsi="Times New Roman" w:cs="Times New Roman"/>
          <w:szCs w:val="24"/>
        </w:rPr>
        <w:t>甲乙双方根据《中华人民共和国民法典》、《中华人民共和国广告法》及相关法律法规规定，在平等、自愿、协商一致的基础上就甲方委托乙方制作并发布广告事宜签订本合同，双方共同遵守。</w:t>
      </w:r>
    </w:p>
    <w:p w14:paraId="0BD69B06">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第一条 甲方委托乙方在下列地段和广告媒体上发布广告：</w:t>
      </w:r>
    </w:p>
    <w:tbl>
      <w:tblPr>
        <w:tblStyle w:val="15"/>
        <w:tblW w:w="99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1134"/>
        <w:gridCol w:w="1134"/>
        <w:gridCol w:w="1134"/>
        <w:gridCol w:w="1275"/>
        <w:gridCol w:w="1560"/>
        <w:gridCol w:w="1984"/>
        <w:gridCol w:w="1164"/>
      </w:tblGrid>
      <w:tr w14:paraId="4756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565" w:type="dxa"/>
            <w:vAlign w:val="center"/>
          </w:tcPr>
          <w:p w14:paraId="29335EDD">
            <w:pPr>
              <w:autoSpaceDE/>
              <w:autoSpaceDN/>
              <w:spacing w:line="240" w:lineRule="auto"/>
              <w:ind w:firstLine="0" w:firstLineChars="0"/>
              <w:jc w:val="center"/>
              <w:rPr>
                <w:rFonts w:ascii="Times New Roman" w:hAnsi="Times New Roman" w:cs="Times New Roman"/>
                <w:b/>
                <w:sz w:val="20"/>
              </w:rPr>
            </w:pPr>
            <w:r>
              <w:rPr>
                <w:rFonts w:hint="eastAsia" w:ascii="Times New Roman" w:hAnsi="Times New Roman" w:cs="Times New Roman"/>
                <w:b/>
                <w:sz w:val="20"/>
              </w:rPr>
              <w:t>序号</w:t>
            </w:r>
          </w:p>
        </w:tc>
        <w:tc>
          <w:tcPr>
            <w:tcW w:w="1134" w:type="dxa"/>
            <w:vAlign w:val="center"/>
          </w:tcPr>
          <w:p w14:paraId="427C7FAA">
            <w:pPr>
              <w:autoSpaceDE/>
              <w:autoSpaceDN/>
              <w:spacing w:line="240" w:lineRule="auto"/>
              <w:ind w:firstLine="0" w:firstLineChars="0"/>
              <w:jc w:val="center"/>
              <w:rPr>
                <w:rFonts w:ascii="Times New Roman" w:hAnsi="Times New Roman" w:cs="Times New Roman"/>
                <w:b/>
                <w:sz w:val="20"/>
              </w:rPr>
            </w:pPr>
            <w:r>
              <w:rPr>
                <w:rFonts w:hint="eastAsia" w:ascii="Times New Roman" w:hAnsi="Times New Roman" w:cs="Times New Roman"/>
                <w:b/>
                <w:sz w:val="20"/>
              </w:rPr>
              <w:t>广告媒体</w:t>
            </w:r>
          </w:p>
        </w:tc>
        <w:tc>
          <w:tcPr>
            <w:tcW w:w="1134" w:type="dxa"/>
            <w:vAlign w:val="center"/>
          </w:tcPr>
          <w:p w14:paraId="7DCCAB50">
            <w:pPr>
              <w:autoSpaceDE/>
              <w:autoSpaceDN/>
              <w:spacing w:line="240" w:lineRule="auto"/>
              <w:ind w:firstLine="0" w:firstLineChars="0"/>
              <w:jc w:val="center"/>
              <w:rPr>
                <w:rFonts w:ascii="Times New Roman" w:hAnsi="Times New Roman" w:cs="Times New Roman"/>
                <w:b/>
                <w:sz w:val="20"/>
              </w:rPr>
            </w:pPr>
            <w:r>
              <w:rPr>
                <w:rFonts w:hint="eastAsia" w:ascii="Times New Roman" w:hAnsi="Times New Roman" w:cs="Times New Roman"/>
                <w:b/>
                <w:sz w:val="20"/>
              </w:rPr>
              <w:t>发布地点</w:t>
            </w:r>
          </w:p>
        </w:tc>
        <w:tc>
          <w:tcPr>
            <w:tcW w:w="1134" w:type="dxa"/>
            <w:vAlign w:val="center"/>
          </w:tcPr>
          <w:p w14:paraId="28B960C8">
            <w:pPr>
              <w:autoSpaceDE/>
              <w:autoSpaceDN/>
              <w:spacing w:line="240" w:lineRule="auto"/>
              <w:ind w:firstLine="0" w:firstLineChars="0"/>
              <w:jc w:val="center"/>
              <w:rPr>
                <w:rFonts w:ascii="Times New Roman" w:hAnsi="Times New Roman" w:cs="Times New Roman"/>
                <w:b/>
                <w:sz w:val="20"/>
              </w:rPr>
            </w:pPr>
            <w:r>
              <w:rPr>
                <w:rFonts w:hint="eastAsia" w:ascii="Times New Roman" w:hAnsi="Times New Roman" w:cs="Times New Roman"/>
                <w:b/>
                <w:sz w:val="20"/>
              </w:rPr>
              <w:t>具体规格</w:t>
            </w:r>
          </w:p>
        </w:tc>
        <w:tc>
          <w:tcPr>
            <w:tcW w:w="1275" w:type="dxa"/>
            <w:vAlign w:val="center"/>
          </w:tcPr>
          <w:p w14:paraId="2A171BE1">
            <w:pPr>
              <w:autoSpaceDE/>
              <w:autoSpaceDN/>
              <w:spacing w:line="240" w:lineRule="auto"/>
              <w:ind w:firstLine="0" w:firstLineChars="0"/>
              <w:jc w:val="center"/>
              <w:rPr>
                <w:rFonts w:ascii="Times New Roman" w:hAnsi="Times New Roman" w:cs="Times New Roman"/>
                <w:b/>
                <w:sz w:val="20"/>
              </w:rPr>
            </w:pPr>
            <w:r>
              <w:rPr>
                <w:rFonts w:hint="eastAsia" w:ascii="Times New Roman" w:hAnsi="Times New Roman" w:cs="Times New Roman"/>
                <w:b/>
                <w:sz w:val="20"/>
              </w:rPr>
              <w:t>投放数量</w:t>
            </w:r>
          </w:p>
        </w:tc>
        <w:tc>
          <w:tcPr>
            <w:tcW w:w="1560" w:type="dxa"/>
            <w:vAlign w:val="center"/>
          </w:tcPr>
          <w:p w14:paraId="0DBD36A8">
            <w:pPr>
              <w:autoSpaceDE/>
              <w:autoSpaceDN/>
              <w:spacing w:line="240" w:lineRule="auto"/>
              <w:ind w:firstLine="0" w:firstLineChars="0"/>
              <w:jc w:val="center"/>
              <w:rPr>
                <w:rFonts w:ascii="Times New Roman" w:hAnsi="Times New Roman" w:cs="Times New Roman"/>
                <w:b/>
                <w:sz w:val="20"/>
              </w:rPr>
            </w:pPr>
            <w:r>
              <w:rPr>
                <w:rFonts w:hint="eastAsia" w:ascii="Times New Roman" w:hAnsi="Times New Roman" w:cs="Times New Roman"/>
                <w:b/>
                <w:sz w:val="20"/>
              </w:rPr>
              <w:t>广告画面材质</w:t>
            </w:r>
          </w:p>
        </w:tc>
        <w:tc>
          <w:tcPr>
            <w:tcW w:w="1984" w:type="dxa"/>
            <w:vAlign w:val="center"/>
          </w:tcPr>
          <w:p w14:paraId="79EEC4E7">
            <w:pPr>
              <w:autoSpaceDE/>
              <w:autoSpaceDN/>
              <w:spacing w:line="240" w:lineRule="auto"/>
              <w:ind w:firstLine="0" w:firstLineChars="0"/>
              <w:jc w:val="center"/>
              <w:rPr>
                <w:rFonts w:ascii="Times New Roman" w:hAnsi="Times New Roman" w:cs="Times New Roman"/>
                <w:b/>
                <w:sz w:val="20"/>
              </w:rPr>
            </w:pPr>
            <w:r>
              <w:rPr>
                <w:rFonts w:hint="eastAsia" w:ascii="Times New Roman" w:hAnsi="Times New Roman" w:cs="Times New Roman"/>
                <w:b/>
                <w:sz w:val="20"/>
              </w:rPr>
              <w:t>发布期限</w:t>
            </w:r>
          </w:p>
        </w:tc>
        <w:tc>
          <w:tcPr>
            <w:tcW w:w="1164" w:type="dxa"/>
            <w:vAlign w:val="center"/>
          </w:tcPr>
          <w:p w14:paraId="703DAC86">
            <w:pPr>
              <w:autoSpaceDE/>
              <w:autoSpaceDN/>
              <w:spacing w:line="240" w:lineRule="auto"/>
              <w:ind w:firstLine="0" w:firstLineChars="0"/>
              <w:jc w:val="center"/>
              <w:rPr>
                <w:rFonts w:ascii="Times New Roman" w:hAnsi="Times New Roman" w:cs="Times New Roman"/>
                <w:b/>
                <w:sz w:val="20"/>
              </w:rPr>
            </w:pPr>
            <w:r>
              <w:rPr>
                <w:rFonts w:hint="eastAsia" w:ascii="Times New Roman" w:hAnsi="Times New Roman" w:cs="Times New Roman"/>
                <w:b/>
                <w:sz w:val="20"/>
              </w:rPr>
              <w:t>备注</w:t>
            </w:r>
          </w:p>
        </w:tc>
      </w:tr>
      <w:tr w14:paraId="23B9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565" w:type="dxa"/>
            <w:vAlign w:val="center"/>
          </w:tcPr>
          <w:p w14:paraId="333FBF7E">
            <w:pPr>
              <w:autoSpaceDE/>
              <w:autoSpaceDN/>
              <w:spacing w:line="240" w:lineRule="auto"/>
              <w:ind w:firstLine="0" w:firstLineChars="0"/>
              <w:jc w:val="center"/>
              <w:rPr>
                <w:rFonts w:ascii="Times New Roman" w:hAnsi="Times New Roman" w:cs="Times New Roman"/>
                <w:sz w:val="20"/>
              </w:rPr>
            </w:pPr>
            <w:r>
              <w:rPr>
                <w:rFonts w:hint="eastAsia" w:ascii="Times New Roman" w:hAnsi="Times New Roman" w:cs="Times New Roman"/>
                <w:sz w:val="20"/>
              </w:rPr>
              <w:t>1</w:t>
            </w:r>
          </w:p>
        </w:tc>
        <w:tc>
          <w:tcPr>
            <w:tcW w:w="1134" w:type="dxa"/>
            <w:vAlign w:val="center"/>
          </w:tcPr>
          <w:p w14:paraId="69DD7D3F">
            <w:pPr>
              <w:autoSpaceDE/>
              <w:autoSpaceDN/>
              <w:spacing w:line="240" w:lineRule="auto"/>
              <w:ind w:firstLine="0" w:firstLineChars="0"/>
              <w:jc w:val="center"/>
              <w:rPr>
                <w:rFonts w:ascii="Times New Roman" w:hAnsi="Times New Roman" w:cs="Times New Roman"/>
                <w:sz w:val="20"/>
              </w:rPr>
            </w:pPr>
          </w:p>
        </w:tc>
        <w:tc>
          <w:tcPr>
            <w:tcW w:w="1134" w:type="dxa"/>
            <w:vAlign w:val="center"/>
          </w:tcPr>
          <w:p w14:paraId="316A2C6A">
            <w:pPr>
              <w:autoSpaceDE/>
              <w:autoSpaceDN/>
              <w:spacing w:line="240" w:lineRule="auto"/>
              <w:ind w:firstLine="0" w:firstLineChars="0"/>
              <w:jc w:val="center"/>
              <w:rPr>
                <w:rFonts w:ascii="Times New Roman" w:hAnsi="Times New Roman" w:cs="Times New Roman"/>
                <w:sz w:val="20"/>
              </w:rPr>
            </w:pPr>
          </w:p>
        </w:tc>
        <w:tc>
          <w:tcPr>
            <w:tcW w:w="1134" w:type="dxa"/>
            <w:vAlign w:val="center"/>
          </w:tcPr>
          <w:p w14:paraId="3CBB5595">
            <w:pPr>
              <w:autoSpaceDE/>
              <w:autoSpaceDN/>
              <w:spacing w:line="240" w:lineRule="auto"/>
              <w:ind w:firstLine="0" w:firstLineChars="0"/>
              <w:jc w:val="center"/>
              <w:rPr>
                <w:rFonts w:ascii="Times New Roman" w:hAnsi="Times New Roman" w:cs="Times New Roman"/>
                <w:sz w:val="20"/>
              </w:rPr>
            </w:pPr>
          </w:p>
        </w:tc>
        <w:tc>
          <w:tcPr>
            <w:tcW w:w="1275" w:type="dxa"/>
            <w:vAlign w:val="center"/>
          </w:tcPr>
          <w:p w14:paraId="0B7011D6">
            <w:pPr>
              <w:autoSpaceDE/>
              <w:autoSpaceDN/>
              <w:spacing w:line="240" w:lineRule="auto"/>
              <w:ind w:firstLine="0" w:firstLineChars="0"/>
              <w:jc w:val="center"/>
              <w:rPr>
                <w:rFonts w:ascii="Times New Roman" w:hAnsi="Times New Roman" w:cs="Times New Roman"/>
                <w:sz w:val="20"/>
              </w:rPr>
            </w:pPr>
          </w:p>
        </w:tc>
        <w:tc>
          <w:tcPr>
            <w:tcW w:w="1560" w:type="dxa"/>
            <w:vAlign w:val="center"/>
          </w:tcPr>
          <w:p w14:paraId="66431911">
            <w:pPr>
              <w:autoSpaceDE/>
              <w:autoSpaceDN/>
              <w:spacing w:line="240" w:lineRule="auto"/>
              <w:ind w:firstLine="0" w:firstLineChars="0"/>
              <w:jc w:val="center"/>
              <w:rPr>
                <w:rFonts w:ascii="Times New Roman" w:hAnsi="Times New Roman" w:cs="Times New Roman"/>
                <w:sz w:val="20"/>
              </w:rPr>
            </w:pPr>
          </w:p>
        </w:tc>
        <w:tc>
          <w:tcPr>
            <w:tcW w:w="1984" w:type="dxa"/>
            <w:vAlign w:val="center"/>
          </w:tcPr>
          <w:p w14:paraId="69AF8577">
            <w:pPr>
              <w:autoSpaceDE/>
              <w:autoSpaceDN/>
              <w:spacing w:line="240" w:lineRule="auto"/>
              <w:ind w:firstLine="0" w:firstLineChars="0"/>
              <w:jc w:val="center"/>
              <w:rPr>
                <w:rFonts w:ascii="Times New Roman" w:hAnsi="Times New Roman" w:cs="Times New Roman"/>
                <w:sz w:val="20"/>
              </w:rPr>
            </w:pPr>
            <w:r>
              <w:rPr>
                <w:rFonts w:hint="eastAsia" w:ascii="Times New Roman" w:hAnsi="Times New Roman" w:cs="Times New Roman"/>
                <w:sz w:val="20"/>
              </w:rPr>
              <w:t>自  年  月  日起</w:t>
            </w:r>
            <w:r>
              <w:rPr>
                <w:rFonts w:ascii="Times New Roman" w:hAnsi="Times New Roman" w:cs="Times New Roman"/>
                <w:sz w:val="20"/>
              </w:rPr>
              <w:t>至</w:t>
            </w:r>
            <w:r>
              <w:rPr>
                <w:rFonts w:hint="eastAsia" w:ascii="Times New Roman" w:hAnsi="Times New Roman" w:cs="Times New Roman"/>
                <w:sz w:val="20"/>
              </w:rPr>
              <w:t xml:space="preserve">  年  月  日</w:t>
            </w:r>
            <w:r>
              <w:rPr>
                <w:rFonts w:ascii="Times New Roman" w:hAnsi="Times New Roman" w:cs="Times New Roman"/>
                <w:sz w:val="20"/>
              </w:rPr>
              <w:t>止</w:t>
            </w:r>
          </w:p>
        </w:tc>
        <w:tc>
          <w:tcPr>
            <w:tcW w:w="1164" w:type="dxa"/>
            <w:vAlign w:val="center"/>
          </w:tcPr>
          <w:p w14:paraId="3A873D8E">
            <w:pPr>
              <w:autoSpaceDE/>
              <w:autoSpaceDN/>
              <w:spacing w:line="240" w:lineRule="auto"/>
              <w:ind w:firstLine="0" w:firstLineChars="0"/>
              <w:jc w:val="center"/>
              <w:rPr>
                <w:rFonts w:ascii="Times New Roman" w:hAnsi="Times New Roman" w:cs="Times New Roman"/>
                <w:sz w:val="20"/>
              </w:rPr>
            </w:pPr>
          </w:p>
        </w:tc>
      </w:tr>
      <w:tr w14:paraId="0DB60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565" w:type="dxa"/>
            <w:vAlign w:val="center"/>
          </w:tcPr>
          <w:p w14:paraId="1CBB5EF5">
            <w:pPr>
              <w:autoSpaceDE/>
              <w:autoSpaceDN/>
              <w:spacing w:line="240" w:lineRule="auto"/>
              <w:ind w:firstLine="0" w:firstLineChars="0"/>
              <w:jc w:val="center"/>
              <w:rPr>
                <w:rFonts w:ascii="Times New Roman" w:hAnsi="Times New Roman" w:cs="Times New Roman"/>
                <w:sz w:val="20"/>
              </w:rPr>
            </w:pPr>
          </w:p>
        </w:tc>
        <w:tc>
          <w:tcPr>
            <w:tcW w:w="1134" w:type="dxa"/>
            <w:vAlign w:val="center"/>
          </w:tcPr>
          <w:p w14:paraId="3E8C3996">
            <w:pPr>
              <w:autoSpaceDE/>
              <w:autoSpaceDN/>
              <w:spacing w:line="240" w:lineRule="auto"/>
              <w:ind w:firstLine="0" w:firstLineChars="0"/>
              <w:jc w:val="center"/>
              <w:rPr>
                <w:rFonts w:ascii="Times New Roman" w:hAnsi="Times New Roman" w:cs="Times New Roman"/>
                <w:sz w:val="20"/>
              </w:rPr>
            </w:pPr>
          </w:p>
        </w:tc>
        <w:tc>
          <w:tcPr>
            <w:tcW w:w="1134" w:type="dxa"/>
            <w:vAlign w:val="center"/>
          </w:tcPr>
          <w:p w14:paraId="1CE5B4C3">
            <w:pPr>
              <w:autoSpaceDE/>
              <w:autoSpaceDN/>
              <w:spacing w:line="240" w:lineRule="auto"/>
              <w:ind w:firstLine="0" w:firstLineChars="0"/>
              <w:jc w:val="center"/>
              <w:rPr>
                <w:rFonts w:ascii="Times New Roman" w:hAnsi="Times New Roman" w:cs="Times New Roman"/>
                <w:sz w:val="20"/>
              </w:rPr>
            </w:pPr>
          </w:p>
        </w:tc>
        <w:tc>
          <w:tcPr>
            <w:tcW w:w="1134" w:type="dxa"/>
            <w:vAlign w:val="center"/>
          </w:tcPr>
          <w:p w14:paraId="1438C92B">
            <w:pPr>
              <w:autoSpaceDE/>
              <w:autoSpaceDN/>
              <w:spacing w:line="240" w:lineRule="auto"/>
              <w:ind w:firstLine="0" w:firstLineChars="0"/>
              <w:jc w:val="center"/>
              <w:rPr>
                <w:rFonts w:ascii="Times New Roman" w:hAnsi="Times New Roman" w:cs="Times New Roman"/>
                <w:sz w:val="20"/>
              </w:rPr>
            </w:pPr>
          </w:p>
        </w:tc>
        <w:tc>
          <w:tcPr>
            <w:tcW w:w="1275" w:type="dxa"/>
            <w:vAlign w:val="center"/>
          </w:tcPr>
          <w:p w14:paraId="2CCBF3CD">
            <w:pPr>
              <w:autoSpaceDE/>
              <w:autoSpaceDN/>
              <w:spacing w:line="240" w:lineRule="auto"/>
              <w:ind w:firstLine="0" w:firstLineChars="0"/>
              <w:jc w:val="center"/>
              <w:rPr>
                <w:rFonts w:ascii="Times New Roman" w:hAnsi="Times New Roman" w:cs="Times New Roman"/>
                <w:sz w:val="20"/>
              </w:rPr>
            </w:pPr>
          </w:p>
        </w:tc>
        <w:tc>
          <w:tcPr>
            <w:tcW w:w="1560" w:type="dxa"/>
            <w:vAlign w:val="center"/>
          </w:tcPr>
          <w:p w14:paraId="68C27B54">
            <w:pPr>
              <w:autoSpaceDE/>
              <w:autoSpaceDN/>
              <w:spacing w:line="240" w:lineRule="auto"/>
              <w:ind w:firstLine="0" w:firstLineChars="0"/>
              <w:jc w:val="center"/>
              <w:rPr>
                <w:rFonts w:ascii="Times New Roman" w:hAnsi="Times New Roman" w:cs="Times New Roman"/>
                <w:sz w:val="20"/>
              </w:rPr>
            </w:pPr>
          </w:p>
        </w:tc>
        <w:tc>
          <w:tcPr>
            <w:tcW w:w="1984" w:type="dxa"/>
            <w:vAlign w:val="center"/>
          </w:tcPr>
          <w:p w14:paraId="3550BFDA">
            <w:pPr>
              <w:autoSpaceDE/>
              <w:autoSpaceDN/>
              <w:spacing w:line="240" w:lineRule="auto"/>
              <w:ind w:firstLine="0" w:firstLineChars="0"/>
              <w:jc w:val="center"/>
              <w:rPr>
                <w:rFonts w:ascii="Times New Roman" w:hAnsi="Times New Roman" w:cs="Times New Roman"/>
                <w:sz w:val="20"/>
              </w:rPr>
            </w:pPr>
          </w:p>
        </w:tc>
        <w:tc>
          <w:tcPr>
            <w:tcW w:w="1164" w:type="dxa"/>
            <w:vAlign w:val="center"/>
          </w:tcPr>
          <w:p w14:paraId="3819216E">
            <w:pPr>
              <w:autoSpaceDE/>
              <w:autoSpaceDN/>
              <w:spacing w:line="240" w:lineRule="auto"/>
              <w:ind w:firstLine="0" w:firstLineChars="0"/>
              <w:jc w:val="center"/>
              <w:rPr>
                <w:rFonts w:ascii="Times New Roman" w:hAnsi="Times New Roman" w:cs="Times New Roman"/>
                <w:sz w:val="20"/>
              </w:rPr>
            </w:pPr>
          </w:p>
        </w:tc>
      </w:tr>
      <w:tr w14:paraId="1297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565" w:type="dxa"/>
            <w:vAlign w:val="center"/>
          </w:tcPr>
          <w:p w14:paraId="149282F9">
            <w:pPr>
              <w:autoSpaceDE/>
              <w:autoSpaceDN/>
              <w:spacing w:line="240" w:lineRule="auto"/>
              <w:ind w:firstLine="0" w:firstLineChars="0"/>
              <w:jc w:val="center"/>
              <w:rPr>
                <w:rFonts w:ascii="Times New Roman" w:hAnsi="Times New Roman" w:cs="Times New Roman"/>
                <w:sz w:val="20"/>
              </w:rPr>
            </w:pPr>
          </w:p>
        </w:tc>
        <w:tc>
          <w:tcPr>
            <w:tcW w:w="1134" w:type="dxa"/>
            <w:vAlign w:val="center"/>
          </w:tcPr>
          <w:p w14:paraId="3D483E59">
            <w:pPr>
              <w:autoSpaceDE/>
              <w:autoSpaceDN/>
              <w:spacing w:line="240" w:lineRule="auto"/>
              <w:ind w:firstLine="0" w:firstLineChars="0"/>
              <w:jc w:val="center"/>
              <w:rPr>
                <w:rFonts w:ascii="Times New Roman" w:hAnsi="Times New Roman" w:cs="Times New Roman"/>
                <w:sz w:val="20"/>
              </w:rPr>
            </w:pPr>
          </w:p>
        </w:tc>
        <w:tc>
          <w:tcPr>
            <w:tcW w:w="1134" w:type="dxa"/>
            <w:vAlign w:val="center"/>
          </w:tcPr>
          <w:p w14:paraId="25ADD6EC">
            <w:pPr>
              <w:autoSpaceDE/>
              <w:autoSpaceDN/>
              <w:spacing w:line="240" w:lineRule="auto"/>
              <w:ind w:firstLine="0" w:firstLineChars="0"/>
              <w:jc w:val="center"/>
              <w:rPr>
                <w:rFonts w:ascii="Times New Roman" w:hAnsi="Times New Roman" w:cs="Times New Roman"/>
                <w:sz w:val="20"/>
              </w:rPr>
            </w:pPr>
          </w:p>
        </w:tc>
        <w:tc>
          <w:tcPr>
            <w:tcW w:w="1134" w:type="dxa"/>
            <w:vAlign w:val="center"/>
          </w:tcPr>
          <w:p w14:paraId="2E8ABA0C">
            <w:pPr>
              <w:autoSpaceDE/>
              <w:autoSpaceDN/>
              <w:spacing w:line="240" w:lineRule="auto"/>
              <w:ind w:firstLine="0" w:firstLineChars="0"/>
              <w:jc w:val="center"/>
              <w:rPr>
                <w:rFonts w:ascii="Times New Roman" w:hAnsi="Times New Roman" w:cs="Times New Roman"/>
                <w:sz w:val="20"/>
              </w:rPr>
            </w:pPr>
          </w:p>
        </w:tc>
        <w:tc>
          <w:tcPr>
            <w:tcW w:w="1275" w:type="dxa"/>
            <w:vAlign w:val="center"/>
          </w:tcPr>
          <w:p w14:paraId="6E60F857">
            <w:pPr>
              <w:autoSpaceDE/>
              <w:autoSpaceDN/>
              <w:spacing w:line="240" w:lineRule="auto"/>
              <w:ind w:firstLine="0" w:firstLineChars="0"/>
              <w:jc w:val="center"/>
              <w:rPr>
                <w:rFonts w:ascii="Times New Roman" w:hAnsi="Times New Roman" w:cs="Times New Roman"/>
                <w:sz w:val="20"/>
              </w:rPr>
            </w:pPr>
          </w:p>
        </w:tc>
        <w:tc>
          <w:tcPr>
            <w:tcW w:w="1560" w:type="dxa"/>
            <w:vAlign w:val="center"/>
          </w:tcPr>
          <w:p w14:paraId="4368B93A">
            <w:pPr>
              <w:autoSpaceDE/>
              <w:autoSpaceDN/>
              <w:spacing w:line="240" w:lineRule="auto"/>
              <w:ind w:firstLine="0" w:firstLineChars="0"/>
              <w:jc w:val="center"/>
              <w:rPr>
                <w:rFonts w:ascii="Times New Roman" w:hAnsi="Times New Roman" w:cs="Times New Roman"/>
                <w:sz w:val="20"/>
              </w:rPr>
            </w:pPr>
          </w:p>
        </w:tc>
        <w:tc>
          <w:tcPr>
            <w:tcW w:w="1984" w:type="dxa"/>
            <w:vAlign w:val="center"/>
          </w:tcPr>
          <w:p w14:paraId="757C2DD3">
            <w:pPr>
              <w:autoSpaceDE/>
              <w:autoSpaceDN/>
              <w:spacing w:line="240" w:lineRule="auto"/>
              <w:ind w:firstLine="0" w:firstLineChars="0"/>
              <w:jc w:val="center"/>
              <w:rPr>
                <w:rFonts w:ascii="Times New Roman" w:hAnsi="Times New Roman" w:cs="Times New Roman"/>
                <w:sz w:val="20"/>
              </w:rPr>
            </w:pPr>
          </w:p>
        </w:tc>
        <w:tc>
          <w:tcPr>
            <w:tcW w:w="1164" w:type="dxa"/>
            <w:vAlign w:val="center"/>
          </w:tcPr>
          <w:p w14:paraId="3CE9FEEA">
            <w:pPr>
              <w:autoSpaceDE/>
              <w:autoSpaceDN/>
              <w:spacing w:line="240" w:lineRule="auto"/>
              <w:ind w:firstLine="0" w:firstLineChars="0"/>
              <w:jc w:val="center"/>
              <w:rPr>
                <w:rFonts w:ascii="Times New Roman" w:hAnsi="Times New Roman" w:cs="Times New Roman"/>
                <w:sz w:val="20"/>
              </w:rPr>
            </w:pPr>
          </w:p>
        </w:tc>
      </w:tr>
    </w:tbl>
    <w:p w14:paraId="0CF391E1">
      <w:pPr>
        <w:autoSpaceDE/>
        <w:autoSpaceDN/>
        <w:spacing w:line="240" w:lineRule="auto"/>
        <w:ind w:firstLine="480"/>
        <w:rPr>
          <w:rFonts w:ascii="宋体" w:hAnsi="Times New Roman" w:cs="Times New Roman"/>
          <w:b/>
          <w:szCs w:val="24"/>
        </w:rPr>
      </w:pPr>
      <w:r>
        <w:rPr>
          <w:rFonts w:hint="eastAsia" w:ascii="宋体" w:hAnsi="Times New Roman" w:cs="Times New Roman"/>
          <w:szCs w:val="24"/>
        </w:rPr>
        <w:t>上述广告要求可另附说明，广告发布期限以经甲方确认的实际上画时间为准。</w:t>
      </w:r>
    </w:p>
    <w:p w14:paraId="5F68E32E">
      <w:pPr>
        <w:autoSpaceDE/>
        <w:autoSpaceDN/>
        <w:spacing w:line="240" w:lineRule="auto"/>
        <w:ind w:firstLine="482"/>
        <w:rPr>
          <w:rFonts w:ascii="宋体" w:hAnsi="Times New Roman" w:cs="Times New Roman"/>
          <w:szCs w:val="24"/>
        </w:rPr>
      </w:pPr>
      <w:r>
        <w:rPr>
          <w:rFonts w:hint="eastAsia" w:ascii="宋体" w:hAnsi="Times New Roman" w:cs="Times New Roman"/>
          <w:b/>
          <w:szCs w:val="24"/>
        </w:rPr>
        <w:t>第二条 广告画面制作要求</w:t>
      </w:r>
    </w:p>
    <w:p w14:paraId="1E5FA75A">
      <w:pPr>
        <w:autoSpaceDE/>
        <w:autoSpaceDN/>
        <w:spacing w:line="240" w:lineRule="auto"/>
        <w:ind w:firstLine="480"/>
        <w:rPr>
          <w:rFonts w:ascii="宋体" w:hAnsi="Times New Roman" w:cs="Times New Roman"/>
          <w:szCs w:val="24"/>
        </w:rPr>
      </w:pPr>
      <w:r>
        <w:rPr>
          <w:rFonts w:hint="eastAsia" w:ascii="宋体" w:hAnsi="Times New Roman" w:cs="Times New Roman"/>
          <w:szCs w:val="24"/>
        </w:rPr>
        <w:t>广告画面制作安装时间：在甲方确认小样后由乙方负责在</w:t>
      </w:r>
      <w:r>
        <w:rPr>
          <w:rFonts w:hint="eastAsia" w:ascii="宋体" w:hAnsi="Times New Roman" w:cs="Times New Roman"/>
          <w:szCs w:val="24"/>
          <w:u w:val="single"/>
        </w:rPr>
        <w:t xml:space="preserve">    </w:t>
      </w:r>
      <w:r>
        <w:rPr>
          <w:rFonts w:hint="eastAsia" w:ascii="宋体" w:hAnsi="Times New Roman" w:cs="Times New Roman"/>
          <w:szCs w:val="24"/>
        </w:rPr>
        <w:t>个工作日内完成。</w:t>
      </w:r>
    </w:p>
    <w:p w14:paraId="4BAFF06F">
      <w:pPr>
        <w:autoSpaceDE/>
        <w:autoSpaceDN/>
        <w:spacing w:line="240" w:lineRule="auto"/>
        <w:ind w:firstLine="482"/>
        <w:rPr>
          <w:rFonts w:ascii="宋体" w:hAnsi="Times New Roman" w:cs="Times New Roman"/>
          <w:szCs w:val="24"/>
        </w:rPr>
      </w:pPr>
      <w:r>
        <w:rPr>
          <w:rFonts w:hint="eastAsia" w:ascii="宋体" w:hAnsi="Times New Roman" w:cs="Times New Roman"/>
          <w:b/>
          <w:szCs w:val="24"/>
        </w:rPr>
        <w:t>第三条 广告内容</w:t>
      </w:r>
    </w:p>
    <w:p w14:paraId="4CB877B7">
      <w:pPr>
        <w:autoSpaceDE/>
        <w:autoSpaceDN/>
        <w:spacing w:line="240" w:lineRule="auto"/>
        <w:ind w:firstLine="480"/>
        <w:rPr>
          <w:rFonts w:ascii="宋体" w:hAnsi="Times New Roman" w:cs="Times New Roman"/>
          <w:szCs w:val="24"/>
        </w:rPr>
      </w:pPr>
      <w:r>
        <w:rPr>
          <w:rFonts w:hint="eastAsia" w:ascii="宋体" w:hAnsi="Times New Roman" w:cs="Times New Roman"/>
          <w:szCs w:val="24"/>
        </w:rPr>
        <w:t>1、甲方委托乙方发布的广告内容为：（具体详见本合同附件或甲方另行提供的广告画面设计样稿）。在发布期间，乙方免费为甲方更换</w:t>
      </w:r>
      <w:r>
        <w:rPr>
          <w:rFonts w:hint="eastAsia" w:ascii="宋体" w:hAnsi="Times New Roman" w:cs="Times New Roman"/>
          <w:szCs w:val="24"/>
          <w:u w:val="single"/>
        </w:rPr>
        <w:t xml:space="preserve">     </w:t>
      </w:r>
      <w:r>
        <w:rPr>
          <w:rFonts w:hint="eastAsia" w:ascii="宋体" w:hAnsi="Times New Roman" w:cs="Times New Roman"/>
          <w:szCs w:val="24"/>
        </w:rPr>
        <w:t>次画面（含首次上画）。</w:t>
      </w:r>
    </w:p>
    <w:p w14:paraId="3DA51914">
      <w:pPr>
        <w:autoSpaceDE/>
        <w:autoSpaceDN/>
        <w:spacing w:line="240" w:lineRule="auto"/>
        <w:ind w:firstLine="480"/>
        <w:rPr>
          <w:rFonts w:ascii="宋体" w:hAnsi="Times New Roman" w:cs="Times New Roman"/>
          <w:szCs w:val="24"/>
        </w:rPr>
      </w:pPr>
      <w:r>
        <w:rPr>
          <w:rFonts w:hint="eastAsia" w:ascii="宋体" w:hAnsi="Times New Roman" w:cs="Times New Roman"/>
          <w:szCs w:val="24"/>
        </w:rPr>
        <w:t>2、甲方保证其委托乙方发布的广告不存在违反中国法律、法规规定的内容。</w:t>
      </w:r>
    </w:p>
    <w:p w14:paraId="557C599E">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第四条 广告发布费用</w:t>
      </w:r>
    </w:p>
    <w:p w14:paraId="6611D79F">
      <w:pPr>
        <w:autoSpaceDE/>
        <w:autoSpaceDN/>
        <w:spacing w:line="240" w:lineRule="auto"/>
        <w:ind w:firstLine="480"/>
        <w:rPr>
          <w:rFonts w:ascii="宋体" w:hAnsi="Times New Roman" w:cs="Times New Roman"/>
          <w:szCs w:val="24"/>
        </w:rPr>
      </w:pPr>
      <w:r>
        <w:rPr>
          <w:rFonts w:hint="eastAsia" w:ascii="宋体" w:hAnsi="Times New Roman" w:cs="Times New Roman"/>
          <w:szCs w:val="24"/>
        </w:rPr>
        <w:t>甲方同意，就其委托乙方在上述期限内、在上述广告媒体上发布本合同所述广告，向乙方支付广告制作、发布费用包干总计人民币（大写）</w:t>
      </w:r>
      <w:r>
        <w:rPr>
          <w:rFonts w:hint="eastAsia" w:ascii="宋体" w:hAnsi="Times New Roman" w:cs="Times New Roman"/>
          <w:szCs w:val="24"/>
          <w:u w:val="single"/>
        </w:rPr>
        <w:t xml:space="preserve">                </w:t>
      </w:r>
      <w:r>
        <w:rPr>
          <w:rFonts w:hint="eastAsia" w:ascii="宋体" w:hAnsi="Times New Roman" w:cs="Times New Roman"/>
          <w:szCs w:val="24"/>
        </w:rPr>
        <w:t>元整（小写¥：</w:t>
      </w:r>
      <w:r>
        <w:rPr>
          <w:rFonts w:hint="eastAsia" w:ascii="宋体" w:hAnsi="Times New Roman" w:cs="Times New Roman"/>
          <w:szCs w:val="24"/>
          <w:u w:val="single"/>
        </w:rPr>
        <w:t xml:space="preserve">              </w:t>
      </w:r>
      <w:r>
        <w:rPr>
          <w:rFonts w:hint="eastAsia" w:ascii="宋体" w:hAnsi="Times New Roman" w:cs="Times New Roman"/>
          <w:szCs w:val="24"/>
        </w:rPr>
        <w:t>元）。该费用为甲方依据本合同约定需向乙方支付的最终费用（含税价）。</w:t>
      </w:r>
    </w:p>
    <w:p w14:paraId="7BF98B14">
      <w:pPr>
        <w:autoSpaceDE/>
        <w:autoSpaceDN/>
        <w:spacing w:line="240" w:lineRule="auto"/>
        <w:ind w:firstLine="480"/>
        <w:rPr>
          <w:rFonts w:ascii="宋体" w:hAnsi="Times New Roman" w:cs="Times New Roman"/>
          <w:szCs w:val="24"/>
        </w:rPr>
      </w:pPr>
      <w:r>
        <w:rPr>
          <w:rFonts w:hint="eastAsia" w:ascii="宋体" w:hAnsi="Times New Roman" w:cs="Times New Roman"/>
          <w:szCs w:val="24"/>
        </w:rPr>
        <w:t>该费用包括：</w:t>
      </w:r>
    </w:p>
    <w:p w14:paraId="27DB9AC7">
      <w:pPr>
        <w:autoSpaceDE/>
        <w:autoSpaceDN/>
        <w:spacing w:line="240" w:lineRule="auto"/>
        <w:ind w:firstLine="480"/>
        <w:rPr>
          <w:rFonts w:ascii="宋体" w:hAnsi="Times New Roman" w:cs="Times New Roman"/>
          <w:szCs w:val="24"/>
        </w:rPr>
      </w:pPr>
      <w:r>
        <w:rPr>
          <w:rFonts w:hint="eastAsia" w:ascii="宋体" w:hAnsi="Times New Roman" w:cs="Times New Roman"/>
          <w:szCs w:val="24"/>
        </w:rPr>
        <w:t>1、广告媒体租金及维护费用；</w:t>
      </w:r>
    </w:p>
    <w:p w14:paraId="4C9D304C">
      <w:pPr>
        <w:autoSpaceDE/>
        <w:autoSpaceDN/>
        <w:spacing w:line="240" w:lineRule="auto"/>
        <w:ind w:firstLine="480"/>
        <w:rPr>
          <w:rFonts w:ascii="宋体" w:hAnsi="Times New Roman" w:cs="Times New Roman"/>
          <w:szCs w:val="24"/>
        </w:rPr>
      </w:pPr>
      <w:r>
        <w:rPr>
          <w:rFonts w:hint="eastAsia" w:ascii="宋体" w:hAnsi="Times New Roman" w:cs="Times New Roman"/>
          <w:szCs w:val="24"/>
        </w:rPr>
        <w:t>2、广告发布及审批费用；</w:t>
      </w:r>
    </w:p>
    <w:p w14:paraId="01BEE342">
      <w:pPr>
        <w:autoSpaceDE/>
        <w:autoSpaceDN/>
        <w:spacing w:line="240" w:lineRule="auto"/>
        <w:ind w:firstLine="480"/>
        <w:rPr>
          <w:rFonts w:ascii="宋体" w:hAnsi="Times New Roman" w:cs="Times New Roman"/>
          <w:szCs w:val="24"/>
        </w:rPr>
      </w:pPr>
      <w:r>
        <w:rPr>
          <w:rFonts w:hint="eastAsia" w:ascii="宋体" w:hAnsi="Times New Roman" w:cs="Times New Roman"/>
          <w:szCs w:val="24"/>
        </w:rPr>
        <w:t xml:space="preserve">3、广告版面材料、制作安装费用； </w:t>
      </w:r>
    </w:p>
    <w:p w14:paraId="56B0797A">
      <w:pPr>
        <w:autoSpaceDE/>
        <w:autoSpaceDN/>
        <w:spacing w:line="240" w:lineRule="auto"/>
        <w:ind w:firstLine="480"/>
        <w:rPr>
          <w:rFonts w:ascii="宋体" w:hAnsi="Times New Roman" w:cs="Times New Roman"/>
          <w:szCs w:val="24"/>
        </w:rPr>
      </w:pPr>
      <w:r>
        <w:rPr>
          <w:rFonts w:hint="eastAsia" w:ascii="宋体" w:hAnsi="Times New Roman" w:cs="Times New Roman"/>
          <w:szCs w:val="24"/>
        </w:rPr>
        <w:t>4、广告版面维护清洁保养费用；</w:t>
      </w:r>
    </w:p>
    <w:p w14:paraId="3291A371">
      <w:pPr>
        <w:autoSpaceDE/>
        <w:autoSpaceDN/>
        <w:spacing w:line="240" w:lineRule="auto"/>
        <w:ind w:firstLine="480"/>
        <w:rPr>
          <w:rFonts w:ascii="宋体" w:hAnsi="Times New Roman" w:cs="Times New Roman"/>
          <w:szCs w:val="24"/>
        </w:rPr>
      </w:pPr>
      <w:r>
        <w:rPr>
          <w:rFonts w:hint="eastAsia" w:ascii="宋体" w:hAnsi="Times New Roman" w:cs="Times New Roman"/>
          <w:szCs w:val="24"/>
        </w:rPr>
        <w:t>5、其他所有必要费用。</w:t>
      </w:r>
    </w:p>
    <w:p w14:paraId="6C10312F">
      <w:pPr>
        <w:autoSpaceDE/>
        <w:autoSpaceDN/>
        <w:spacing w:line="240" w:lineRule="auto"/>
        <w:ind w:firstLine="480"/>
        <w:rPr>
          <w:rFonts w:ascii="宋体" w:hAnsi="Times New Roman" w:cs="Times New Roman"/>
          <w:szCs w:val="24"/>
        </w:rPr>
      </w:pPr>
      <w:r>
        <w:rPr>
          <w:rFonts w:hint="eastAsia" w:ascii="宋体" w:hAnsi="Times New Roman" w:cs="Times New Roman"/>
          <w:szCs w:val="24"/>
        </w:rPr>
        <w:t>除此外，甲方无需向乙方支付其他任何费用。</w:t>
      </w:r>
    </w:p>
    <w:p w14:paraId="376823FB">
      <w:pPr>
        <w:autoSpaceDE/>
        <w:autoSpaceDN/>
        <w:spacing w:line="240" w:lineRule="auto"/>
        <w:ind w:firstLine="482"/>
        <w:rPr>
          <w:rFonts w:ascii="宋体" w:hAnsi="Times New Roman" w:cs="Times New Roman"/>
          <w:szCs w:val="24"/>
        </w:rPr>
      </w:pPr>
      <w:r>
        <w:rPr>
          <w:rFonts w:hint="eastAsia" w:ascii="宋体" w:hAnsi="Times New Roman" w:cs="Times New Roman"/>
          <w:b/>
          <w:szCs w:val="24"/>
        </w:rPr>
        <w:t>第五条 付款条件</w:t>
      </w:r>
    </w:p>
    <w:p w14:paraId="0B34FB4C">
      <w:pPr>
        <w:autoSpaceDE/>
        <w:autoSpaceDN/>
        <w:spacing w:line="240" w:lineRule="auto"/>
        <w:ind w:firstLine="480"/>
        <w:rPr>
          <w:rFonts w:ascii="宋体" w:hAnsi="Times New Roman" w:cs="Times New Roman"/>
          <w:szCs w:val="24"/>
        </w:rPr>
      </w:pPr>
      <w:r>
        <w:rPr>
          <w:rFonts w:hint="eastAsia" w:ascii="宋体" w:hAnsi="Times New Roman" w:cs="Times New Roman"/>
          <w:szCs w:val="24"/>
        </w:rPr>
        <w:t>1.付款方式</w:t>
      </w:r>
    </w:p>
    <w:p w14:paraId="55BF72D0">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甲乙双方同意按照以下第</w:t>
      </w:r>
      <w:r>
        <w:rPr>
          <w:rFonts w:hint="eastAsia" w:ascii="宋体" w:hAnsi="Times New Roman" w:cs="Times New Roman"/>
          <w:b/>
          <w:szCs w:val="24"/>
          <w:u w:val="single"/>
        </w:rPr>
        <w:t xml:space="preserve">     </w:t>
      </w:r>
      <w:r>
        <w:rPr>
          <w:rFonts w:hint="eastAsia" w:ascii="宋体" w:hAnsi="Times New Roman" w:cs="Times New Roman"/>
          <w:b/>
          <w:szCs w:val="24"/>
        </w:rPr>
        <w:t>方式付款：</w:t>
      </w:r>
    </w:p>
    <w:p w14:paraId="1243D7D6">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（1）一次性付款</w:t>
      </w:r>
    </w:p>
    <w:p w14:paraId="39742250">
      <w:pPr>
        <w:autoSpaceDE/>
        <w:autoSpaceDN/>
        <w:spacing w:line="240" w:lineRule="auto"/>
        <w:ind w:firstLine="480"/>
        <w:rPr>
          <w:rFonts w:ascii="宋体" w:hAnsi="Times New Roman" w:cs="Times New Roman"/>
          <w:b/>
          <w:szCs w:val="24"/>
        </w:rPr>
      </w:pPr>
      <w:r>
        <w:rPr>
          <w:rFonts w:hint="eastAsia" w:ascii="宋体" w:hAnsi="Times New Roman" w:cs="Times New Roman"/>
          <w:szCs w:val="24"/>
          <w:u w:val="single"/>
        </w:rPr>
        <w:t xml:space="preserve">            （付款条件）        </w:t>
      </w:r>
      <w:r>
        <w:rPr>
          <w:rFonts w:hint="eastAsia" w:ascii="宋体" w:hAnsi="Times New Roman" w:cs="Times New Roman"/>
          <w:szCs w:val="24"/>
        </w:rPr>
        <w:t>，且甲方在收到乙方提供的足额、有效的增值税专用发票后15个工作日内，向乙方支付合同全部金额。</w:t>
      </w:r>
    </w:p>
    <w:p w14:paraId="2AC6F369">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（2）分次付款</w:t>
      </w:r>
    </w:p>
    <w:p w14:paraId="50E40D7C">
      <w:pPr>
        <w:autoSpaceDE/>
        <w:autoSpaceDN/>
        <w:spacing w:line="240" w:lineRule="auto"/>
        <w:ind w:firstLine="482"/>
        <w:rPr>
          <w:rFonts w:ascii="宋体" w:hAnsi="Times New Roman" w:cs="Times New Roman"/>
          <w:szCs w:val="24"/>
        </w:rPr>
      </w:pPr>
      <w:r>
        <w:rPr>
          <w:rFonts w:hint="eastAsia" w:ascii="宋体" w:hAnsi="Times New Roman" w:cs="Times New Roman"/>
          <w:b/>
          <w:szCs w:val="24"/>
        </w:rPr>
        <w:t>第一次付款：</w:t>
      </w:r>
      <w:r>
        <w:rPr>
          <w:rFonts w:hint="eastAsia" w:ascii="宋体" w:hAnsi="Times New Roman" w:cs="Times New Roman"/>
          <w:szCs w:val="24"/>
          <w:u w:val="single"/>
        </w:rPr>
        <w:t xml:space="preserve">            （付款条件）        </w:t>
      </w:r>
      <w:r>
        <w:rPr>
          <w:rFonts w:hint="eastAsia" w:ascii="宋体" w:hAnsi="Times New Roman" w:cs="Times New Roman"/>
          <w:szCs w:val="24"/>
        </w:rPr>
        <w:t>，且甲方在收到乙方提供的足额、有效的增值税专用发票后15个工作日内，向乙方支付合同价款的</w:t>
      </w:r>
      <w:r>
        <w:rPr>
          <w:rFonts w:hint="eastAsia" w:ascii="宋体" w:hAnsi="Times New Roman" w:cs="Times New Roman"/>
          <w:szCs w:val="24"/>
          <w:u w:val="single"/>
        </w:rPr>
        <w:t xml:space="preserve">   </w:t>
      </w:r>
      <w:r>
        <w:rPr>
          <w:rFonts w:hint="eastAsia" w:ascii="宋体" w:hAnsi="Times New Roman" w:cs="Times New Roman"/>
          <w:szCs w:val="24"/>
        </w:rPr>
        <w:t>%，计人民币（大写）</w:t>
      </w:r>
      <w:r>
        <w:rPr>
          <w:rFonts w:hint="eastAsia" w:ascii="宋体" w:hAnsi="Times New Roman" w:cs="Times New Roman"/>
          <w:szCs w:val="24"/>
          <w:u w:val="single"/>
        </w:rPr>
        <w:t xml:space="preserve">            </w:t>
      </w:r>
      <w:r>
        <w:rPr>
          <w:rFonts w:hint="eastAsia" w:ascii="宋体" w:hAnsi="Times New Roman" w:cs="Times New Roman"/>
          <w:szCs w:val="24"/>
        </w:rPr>
        <w:t>元整（小写¥：</w:t>
      </w:r>
      <w:r>
        <w:rPr>
          <w:rFonts w:hint="eastAsia" w:ascii="宋体" w:hAnsi="Times New Roman" w:cs="Times New Roman"/>
          <w:szCs w:val="24"/>
          <w:u w:val="single"/>
        </w:rPr>
        <w:t xml:space="preserve">             </w:t>
      </w:r>
      <w:r>
        <w:rPr>
          <w:rFonts w:hint="eastAsia" w:ascii="宋体" w:hAnsi="Times New Roman" w:cs="Times New Roman"/>
          <w:szCs w:val="24"/>
        </w:rPr>
        <w:t>元）；</w:t>
      </w:r>
    </w:p>
    <w:p w14:paraId="1DF08E78">
      <w:pPr>
        <w:autoSpaceDE/>
        <w:autoSpaceDN/>
        <w:spacing w:line="240" w:lineRule="auto"/>
        <w:ind w:firstLine="482"/>
        <w:rPr>
          <w:rFonts w:ascii="宋体" w:hAnsi="Times New Roman" w:cs="Times New Roman"/>
          <w:szCs w:val="24"/>
          <w:u w:val="single"/>
        </w:rPr>
      </w:pPr>
      <w:r>
        <w:rPr>
          <w:rFonts w:hint="eastAsia" w:ascii="宋体" w:hAnsi="Times New Roman" w:cs="Times New Roman"/>
          <w:b/>
          <w:szCs w:val="24"/>
        </w:rPr>
        <w:t>第二次付款</w:t>
      </w:r>
      <w:r>
        <w:rPr>
          <w:rFonts w:hint="eastAsia" w:ascii="宋体" w:hAnsi="Times New Roman" w:cs="Times New Roman"/>
          <w:szCs w:val="24"/>
        </w:rPr>
        <w:t>：</w:t>
      </w:r>
      <w:r>
        <w:rPr>
          <w:rFonts w:hint="eastAsia" w:ascii="宋体" w:hAnsi="Times New Roman" w:cs="Times New Roman"/>
          <w:szCs w:val="24"/>
          <w:u w:val="single"/>
        </w:rPr>
        <w:t xml:space="preserve">                                            </w:t>
      </w:r>
      <w:r>
        <w:rPr>
          <w:rFonts w:hint="eastAsia" w:ascii="宋体" w:hAnsi="Times New Roman" w:cs="Times New Roman"/>
          <w:szCs w:val="24"/>
        </w:rPr>
        <w:t>；</w:t>
      </w:r>
    </w:p>
    <w:p w14:paraId="3FD09959">
      <w:pPr>
        <w:autoSpaceDE/>
        <w:autoSpaceDN/>
        <w:spacing w:line="240" w:lineRule="auto"/>
        <w:ind w:firstLine="482"/>
        <w:rPr>
          <w:rFonts w:ascii="宋体" w:hAnsi="Times New Roman" w:cs="Times New Roman"/>
          <w:szCs w:val="24"/>
        </w:rPr>
      </w:pPr>
      <w:r>
        <w:rPr>
          <w:rFonts w:hint="eastAsia" w:ascii="宋体" w:hAnsi="Times New Roman" w:cs="Times New Roman"/>
          <w:b/>
          <w:szCs w:val="24"/>
        </w:rPr>
        <w:t>第三次付款：</w:t>
      </w:r>
      <w:r>
        <w:rPr>
          <w:rFonts w:hint="eastAsia" w:ascii="宋体" w:hAnsi="Times New Roman" w:cs="Times New Roman"/>
          <w:b/>
          <w:szCs w:val="24"/>
          <w:u w:val="single"/>
        </w:rPr>
        <w:t xml:space="preserve">                                           </w:t>
      </w:r>
      <w:r>
        <w:rPr>
          <w:rFonts w:hint="eastAsia" w:ascii="宋体" w:hAnsi="Times New Roman" w:cs="Times New Roman"/>
          <w:szCs w:val="24"/>
          <w:u w:val="single"/>
        </w:rPr>
        <w:t xml:space="preserve"> </w:t>
      </w:r>
      <w:r>
        <w:rPr>
          <w:rFonts w:hint="eastAsia" w:ascii="宋体" w:hAnsi="Times New Roman" w:cs="Times New Roman"/>
          <w:szCs w:val="24"/>
        </w:rPr>
        <w:t>。</w:t>
      </w:r>
    </w:p>
    <w:p w14:paraId="2134F9A3">
      <w:pPr>
        <w:autoSpaceDE/>
        <w:autoSpaceDN/>
        <w:spacing w:line="240" w:lineRule="auto"/>
        <w:ind w:firstLine="480"/>
        <w:rPr>
          <w:rFonts w:ascii="宋体" w:hAnsi="Times New Roman" w:cs="Times New Roman"/>
          <w:szCs w:val="24"/>
        </w:rPr>
      </w:pPr>
      <w:r>
        <w:rPr>
          <w:rFonts w:hint="eastAsia" w:ascii="宋体" w:hAnsi="Times New Roman" w:cs="Times New Roman"/>
          <w:szCs w:val="24"/>
        </w:rPr>
        <w:t>2、</w:t>
      </w:r>
      <w:r>
        <w:rPr>
          <w:rFonts w:hint="eastAsia" w:ascii="宋体" w:hAnsi="Times New Roman" w:cs="Times New Roman"/>
          <w:b/>
          <w:szCs w:val="24"/>
        </w:rPr>
        <w:t>乙方需在甲方营业网点开立对公账户，并以此为乙方的收款账户。</w:t>
      </w:r>
    </w:p>
    <w:p w14:paraId="5B1E0F47">
      <w:pPr>
        <w:autoSpaceDE/>
        <w:autoSpaceDN/>
        <w:spacing w:line="240" w:lineRule="auto"/>
        <w:ind w:firstLine="480"/>
        <w:rPr>
          <w:rFonts w:ascii="宋体" w:hAnsi="Times New Roman" w:cs="Times New Roman"/>
          <w:szCs w:val="24"/>
        </w:rPr>
      </w:pPr>
      <w:r>
        <w:rPr>
          <w:rFonts w:hint="eastAsia" w:ascii="宋体" w:hAnsi="Times New Roman" w:cs="Times New Roman"/>
          <w:szCs w:val="24"/>
        </w:rPr>
        <w:t>3、在甲方支付相关费用前，乙方须先行开具增值税专用发票（税率为</w:t>
      </w:r>
      <w:r>
        <w:rPr>
          <w:rFonts w:hint="eastAsia" w:ascii="宋体" w:hAnsi="Times New Roman" w:cs="Times New Roman"/>
          <w:szCs w:val="24"/>
          <w:u w:val="single"/>
        </w:rPr>
        <w:t xml:space="preserve">    </w:t>
      </w:r>
      <w:r>
        <w:rPr>
          <w:rFonts w:hint="eastAsia" w:ascii="宋体" w:hAnsi="Times New Roman" w:cs="Times New Roman"/>
          <w:szCs w:val="24"/>
        </w:rPr>
        <w:t>%）。</w:t>
      </w:r>
    </w:p>
    <w:p w14:paraId="79AB93FC">
      <w:pPr>
        <w:autoSpaceDE/>
        <w:autoSpaceDN/>
        <w:spacing w:line="240" w:lineRule="auto"/>
        <w:ind w:firstLine="480"/>
        <w:rPr>
          <w:rFonts w:ascii="宋体" w:hAnsi="Times New Roman" w:cs="Times New Roman"/>
          <w:szCs w:val="24"/>
          <w:u w:val="single"/>
        </w:rPr>
      </w:pPr>
      <w:r>
        <w:rPr>
          <w:rFonts w:hint="eastAsia" w:ascii="宋体" w:hAnsi="Times New Roman" w:cs="Times New Roman"/>
          <w:szCs w:val="24"/>
        </w:rPr>
        <w:t>4、其他：</w:t>
      </w:r>
      <w:r>
        <w:rPr>
          <w:rFonts w:hint="eastAsia" w:ascii="宋体" w:hAnsi="Times New Roman" w:cs="Times New Roman"/>
          <w:szCs w:val="24"/>
          <w:u w:val="single"/>
        </w:rPr>
        <w:t>本合同不含税价为人民币（大写）    （小写¥：   元）。</w:t>
      </w:r>
    </w:p>
    <w:p w14:paraId="4692B9C2">
      <w:pPr>
        <w:autoSpaceDE/>
        <w:autoSpaceDN/>
        <w:spacing w:line="240" w:lineRule="auto"/>
        <w:ind w:firstLine="482"/>
        <w:rPr>
          <w:rFonts w:ascii="宋体" w:hAnsi="Times New Roman" w:cs="Times New Roman"/>
          <w:szCs w:val="24"/>
        </w:rPr>
      </w:pPr>
      <w:r>
        <w:rPr>
          <w:rFonts w:hint="eastAsia" w:ascii="宋体" w:hAnsi="Times New Roman" w:cs="Times New Roman"/>
          <w:b/>
          <w:szCs w:val="24"/>
        </w:rPr>
        <w:t>第六条 甲乙双方的承诺和保证</w:t>
      </w:r>
    </w:p>
    <w:p w14:paraId="21E01885">
      <w:pPr>
        <w:autoSpaceDE/>
        <w:autoSpaceDN/>
        <w:spacing w:line="240" w:lineRule="auto"/>
        <w:ind w:firstLine="480"/>
        <w:rPr>
          <w:rFonts w:ascii="宋体" w:hAnsi="Times New Roman" w:cs="Times New Roman"/>
          <w:szCs w:val="24"/>
        </w:rPr>
      </w:pPr>
      <w:r>
        <w:rPr>
          <w:rFonts w:hint="eastAsia" w:ascii="宋体" w:hAnsi="Times New Roman" w:cs="Times New Roman"/>
          <w:szCs w:val="24"/>
        </w:rPr>
        <w:t>1、甲乙双方均保证其已向对方出示的各自的营业执照及其他有关证明文件是依法定程序取得的并且是真实的。</w:t>
      </w:r>
    </w:p>
    <w:p w14:paraId="084A07AC">
      <w:pPr>
        <w:autoSpaceDE/>
        <w:autoSpaceDN/>
        <w:spacing w:line="240" w:lineRule="auto"/>
        <w:ind w:firstLine="480"/>
        <w:rPr>
          <w:rFonts w:ascii="宋体" w:hAnsi="Times New Roman" w:cs="Times New Roman"/>
          <w:szCs w:val="24"/>
        </w:rPr>
      </w:pPr>
      <w:r>
        <w:rPr>
          <w:rFonts w:hint="eastAsia" w:ascii="宋体" w:hAnsi="Times New Roman" w:cs="Times New Roman"/>
          <w:szCs w:val="24"/>
        </w:rPr>
        <w:t>2、甲乙双方均向对方保证其具有签订及履行本合同的全部权利和资格。</w:t>
      </w:r>
    </w:p>
    <w:p w14:paraId="08C95D4B">
      <w:pPr>
        <w:autoSpaceDE/>
        <w:autoSpaceDN/>
        <w:spacing w:line="240" w:lineRule="auto"/>
        <w:ind w:firstLine="480"/>
        <w:rPr>
          <w:rFonts w:ascii="宋体" w:hAnsi="Times New Roman" w:cs="Times New Roman"/>
          <w:szCs w:val="24"/>
        </w:rPr>
      </w:pPr>
      <w:r>
        <w:rPr>
          <w:rFonts w:hint="eastAsia" w:ascii="宋体" w:hAnsi="Times New Roman" w:cs="Times New Roman"/>
          <w:szCs w:val="24"/>
        </w:rPr>
        <w:t>3、甲方应保证广告内容的真实性和合法性，甲方发布的广告内容不存在违反任何法律法规或侵犯任何第三方的合法权益的情形。</w:t>
      </w:r>
    </w:p>
    <w:p w14:paraId="5FA012CC">
      <w:pPr>
        <w:autoSpaceDE/>
        <w:autoSpaceDN/>
        <w:spacing w:line="240" w:lineRule="auto"/>
        <w:ind w:firstLine="480"/>
        <w:rPr>
          <w:rFonts w:ascii="宋体" w:hAnsi="Times New Roman" w:cs="Times New Roman"/>
          <w:szCs w:val="24"/>
        </w:rPr>
      </w:pPr>
      <w:r>
        <w:rPr>
          <w:rFonts w:hint="eastAsia" w:ascii="宋体" w:hAnsi="Times New Roman" w:cs="Times New Roman"/>
          <w:szCs w:val="24"/>
        </w:rPr>
        <w:t>4、乙方根据甲方提供的资料代为制作完成的广告画面资料所涉及的知识产权属于甲方所有。</w:t>
      </w:r>
    </w:p>
    <w:p w14:paraId="0A845481">
      <w:pPr>
        <w:autoSpaceDE/>
        <w:autoSpaceDN/>
        <w:spacing w:line="240" w:lineRule="auto"/>
        <w:ind w:firstLine="480"/>
        <w:rPr>
          <w:rFonts w:ascii="宋体" w:hAnsi="Times New Roman" w:cs="Times New Roman"/>
          <w:szCs w:val="24"/>
        </w:rPr>
      </w:pPr>
      <w:r>
        <w:rPr>
          <w:rFonts w:hint="eastAsia" w:ascii="宋体" w:hAnsi="Times New Roman" w:cs="Times New Roman"/>
          <w:szCs w:val="24"/>
        </w:rPr>
        <w:t>5、乙方应取得经重庆市工商、市政等有关部门授权的该广告位的广告发布权。乙方负责广告位发布画面的所有审批手续办理，并确保在合同有效期内，持续享有广告发布权限，并保证不受任何外力干扰（8级以上大风、6级以上地震损坏广告位除外）而导致甲方广告发布被影响或取消。</w:t>
      </w:r>
    </w:p>
    <w:p w14:paraId="391D9AE6">
      <w:pPr>
        <w:autoSpaceDE/>
        <w:autoSpaceDN/>
        <w:spacing w:line="240" w:lineRule="auto"/>
        <w:ind w:firstLine="480"/>
        <w:rPr>
          <w:rFonts w:ascii="宋体" w:hAnsi="Times New Roman" w:cs="Times New Roman"/>
          <w:szCs w:val="24"/>
        </w:rPr>
      </w:pPr>
      <w:r>
        <w:rPr>
          <w:rFonts w:hint="eastAsia" w:ascii="宋体" w:hAnsi="Times New Roman" w:cs="Times New Roman"/>
          <w:szCs w:val="24"/>
        </w:rPr>
        <w:t>6、乙方在施工过程中如出现意外工伤、事故等，所造成的损失与甲方无关。因履行合同过程中发生的一切安全保障责任，人身伤亡事故及造成的经济损失应由乙方承担赔偿责任。若因出现前述情况导致甲方被政府相关职能部门处罚、约谈、对外承担赔偿责任的，甲方有权随时解除或终止本合同，不再支付任何费用，已支付的费用乙方应予返还，且赔偿甲方遭受的损失及对外赔偿金额。</w:t>
      </w:r>
    </w:p>
    <w:p w14:paraId="7BF4B36B">
      <w:pPr>
        <w:autoSpaceDE/>
        <w:autoSpaceDN/>
        <w:spacing w:line="240" w:lineRule="auto"/>
        <w:ind w:firstLine="480"/>
        <w:rPr>
          <w:rFonts w:ascii="宋体" w:hAnsi="Times New Roman" w:cs="Times New Roman"/>
          <w:szCs w:val="24"/>
        </w:rPr>
      </w:pPr>
      <w:r>
        <w:rPr>
          <w:rFonts w:hint="eastAsia" w:ascii="宋体" w:hAnsi="Times New Roman" w:cs="Times New Roman"/>
          <w:szCs w:val="24"/>
        </w:rPr>
        <w:t>7、乙方应该保证画面整洁、安装稳固。画面如被损坏，乙方应按甲方要求负责维修，并承担所有费用。若乙方未按甲方要求进行维修的，甲方有权另行委托第三方进行维修，由此产生的费用由乙方承担，甲方有权从应支付给乙方的任意一笔款项中直接扣除。</w:t>
      </w:r>
    </w:p>
    <w:p w14:paraId="43C4B079">
      <w:pPr>
        <w:autoSpaceDE/>
        <w:autoSpaceDN/>
        <w:spacing w:line="240" w:lineRule="auto"/>
        <w:ind w:firstLine="480"/>
        <w:rPr>
          <w:rFonts w:ascii="宋体" w:hAnsi="Times New Roman" w:cs="Times New Roman"/>
          <w:szCs w:val="24"/>
        </w:rPr>
      </w:pPr>
      <w:r>
        <w:rPr>
          <w:rFonts w:hint="eastAsia" w:ascii="宋体" w:hAnsi="Times New Roman" w:cs="Times New Roman"/>
          <w:szCs w:val="24"/>
        </w:rPr>
        <w:t>8、乙方承诺乙方制作的广告等产品及其提供的服务不得侵犯任何方的知识产权和其他合法权益，乙方不得侵犯甲方商誉，未经甲方书面同意不得使用甲方合法所有的知识产权（包括但不限于商标等），否则由此造成的一切损失由乙方承担全额赔偿责任。若因乙方的侵权行为导致甲方对外承担赔偿责任的，甲方有权随时解除或终止本合同，不再支付任何费用，已支付的费用乙方应予返还，且赔偿甲方遭受的损失及对外赔偿金额。</w:t>
      </w:r>
    </w:p>
    <w:p w14:paraId="553C4355">
      <w:pPr>
        <w:autoSpaceDE/>
        <w:autoSpaceDN/>
        <w:spacing w:line="240" w:lineRule="auto"/>
        <w:ind w:firstLine="480"/>
        <w:rPr>
          <w:rFonts w:ascii="宋体" w:hAnsi="Times New Roman" w:cs="Times New Roman"/>
          <w:szCs w:val="24"/>
        </w:rPr>
      </w:pPr>
      <w:r>
        <w:rPr>
          <w:rFonts w:hint="eastAsia" w:ascii="宋体" w:hAnsi="Times New Roman" w:cs="Times New Roman"/>
          <w:szCs w:val="24"/>
        </w:rPr>
        <w:t>9、乙方承诺将严格按照合同约定完成甲方所委托事项，且不再将此工作或部分工作委托第三方，否则甲方有权随时解除或终止本合同，不再支付任何费用，已支付的费用乙方应予返还，且赔偿甲方遭受的损失。</w:t>
      </w:r>
    </w:p>
    <w:p w14:paraId="799293C2">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第七条 广告制作</w:t>
      </w:r>
    </w:p>
    <w:p w14:paraId="25B5B72F">
      <w:pPr>
        <w:autoSpaceDE/>
        <w:autoSpaceDN/>
        <w:spacing w:line="240" w:lineRule="auto"/>
        <w:ind w:firstLine="480"/>
        <w:rPr>
          <w:rFonts w:ascii="宋体" w:hAnsi="Times New Roman" w:cs="Times New Roman"/>
          <w:szCs w:val="24"/>
        </w:rPr>
      </w:pPr>
      <w:r>
        <w:rPr>
          <w:rFonts w:hint="eastAsia" w:ascii="宋体" w:hAnsi="Times New Roman" w:cs="Times New Roman"/>
          <w:szCs w:val="24"/>
        </w:rPr>
        <w:t>1、甲方须在合同签订后5个工作日内向乙方提供广告设计材料及广告发布所需文件。如甲方未在上述时间内提供上述文件或资料，导致广告发布时间延后，其责任由甲方自行承担。</w:t>
      </w:r>
    </w:p>
    <w:p w14:paraId="642C60C6">
      <w:pPr>
        <w:autoSpaceDE/>
        <w:autoSpaceDN/>
        <w:spacing w:line="240" w:lineRule="auto"/>
        <w:ind w:firstLine="480"/>
        <w:rPr>
          <w:rFonts w:ascii="宋体" w:hAnsi="Times New Roman" w:cs="Times New Roman"/>
          <w:szCs w:val="24"/>
        </w:rPr>
      </w:pPr>
      <w:r>
        <w:rPr>
          <w:rFonts w:hint="eastAsia" w:ascii="宋体" w:hAnsi="Times New Roman" w:cs="Times New Roman"/>
          <w:szCs w:val="24"/>
        </w:rPr>
        <w:t xml:space="preserve">2、乙方在收到上款所提及的资料后，报有关管理机构审批合格后开始制作广告画面小样，乙方最晚不超过本合同订立后【  】日向甲方提供小样。 </w:t>
      </w:r>
    </w:p>
    <w:p w14:paraId="7C0C9F41">
      <w:pPr>
        <w:autoSpaceDE/>
        <w:autoSpaceDN/>
        <w:spacing w:line="240" w:lineRule="auto"/>
        <w:ind w:firstLine="480"/>
        <w:rPr>
          <w:rFonts w:ascii="宋体" w:hAnsi="Times New Roman" w:cs="Times New Roman"/>
          <w:szCs w:val="24"/>
        </w:rPr>
      </w:pPr>
      <w:r>
        <w:rPr>
          <w:rFonts w:hint="eastAsia" w:ascii="宋体" w:hAnsi="Times New Roman" w:cs="Times New Roman"/>
          <w:szCs w:val="24"/>
        </w:rPr>
        <w:t>3、经甲方在广告画面制作小样上签字认可后，乙方正式开始广告画面制作。乙方应在甲方确认小样后【  】日内完成广告画面制作并通过甲方确认。经甲方签字认可的画面小样将作为双方最终确认广告制作及发布效果的验收标准。</w:t>
      </w:r>
    </w:p>
    <w:p w14:paraId="39F6E865">
      <w:pPr>
        <w:autoSpaceDE/>
        <w:autoSpaceDN/>
        <w:spacing w:line="240" w:lineRule="auto"/>
        <w:ind w:firstLine="480"/>
        <w:rPr>
          <w:rFonts w:ascii="宋体" w:hAnsi="Times New Roman" w:cs="Times New Roman"/>
          <w:szCs w:val="24"/>
        </w:rPr>
      </w:pPr>
      <w:r>
        <w:rPr>
          <w:rFonts w:hint="eastAsia" w:ascii="宋体" w:hAnsi="Times New Roman" w:cs="Times New Roman"/>
          <w:szCs w:val="24"/>
        </w:rPr>
        <w:t>4、在合同有效期内，甲方中途需换广告画面，乙方按上述流程根据甲方需求无偿进行画面制作安装更换。超出赠送次数制作、更换、安装画面的费用由甲方承担，为含税价</w:t>
      </w:r>
      <w:r>
        <w:rPr>
          <w:rFonts w:hint="eastAsia" w:ascii="宋体" w:hAnsi="Times New Roman" w:cs="Times New Roman"/>
          <w:szCs w:val="24"/>
          <w:u w:val="single"/>
        </w:rPr>
        <w:t>_   _</w:t>
      </w:r>
      <w:r>
        <w:rPr>
          <w:rFonts w:hint="eastAsia" w:ascii="宋体" w:hAnsi="Times New Roman" w:cs="Times New Roman"/>
          <w:szCs w:val="24"/>
        </w:rPr>
        <w:t>元/平方米，甲方对更换的画面进行上刊验收确认并收到乙方开具且送达的足额、有效的增值税专用发票后，在7个工作日内支付乙方本次换画费用。</w:t>
      </w:r>
    </w:p>
    <w:p w14:paraId="48F7B4CE">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第八条 广告验收</w:t>
      </w:r>
    </w:p>
    <w:p w14:paraId="6B66F154">
      <w:pPr>
        <w:autoSpaceDE/>
        <w:autoSpaceDN/>
        <w:spacing w:line="240" w:lineRule="auto"/>
        <w:ind w:firstLine="480"/>
        <w:rPr>
          <w:rFonts w:ascii="宋体" w:hAnsi="Times New Roman" w:cs="Times New Roman"/>
          <w:szCs w:val="24"/>
        </w:rPr>
      </w:pPr>
      <w:r>
        <w:rPr>
          <w:rFonts w:hint="eastAsia" w:ascii="宋体" w:hAnsi="Times New Roman" w:cs="Times New Roman"/>
          <w:szCs w:val="24"/>
        </w:rPr>
        <w:t>1、验收时间：乙方应在广告画面全部上画安装完成后书面通知甲方进行验收，甲方须在接到通知后7个工作日内验收完毕并在广告验收报告上签字是否通过验收。</w:t>
      </w:r>
    </w:p>
    <w:p w14:paraId="35FF15A2">
      <w:pPr>
        <w:autoSpaceDE/>
        <w:autoSpaceDN/>
        <w:spacing w:line="240" w:lineRule="auto"/>
        <w:ind w:firstLine="480"/>
        <w:rPr>
          <w:rFonts w:ascii="宋体" w:hAnsi="Times New Roman" w:cs="Times New Roman"/>
          <w:szCs w:val="24"/>
        </w:rPr>
      </w:pPr>
      <w:r>
        <w:rPr>
          <w:rFonts w:hint="eastAsia" w:ascii="宋体" w:hAnsi="Times New Roman" w:cs="Times New Roman"/>
          <w:szCs w:val="24"/>
        </w:rPr>
        <w:t>2、验收方法：甲乙双方有关人员按照合同有关条款及其认可的制作小样在甲方指定地点进行验收并当场签署验收意见。</w:t>
      </w:r>
    </w:p>
    <w:p w14:paraId="227F8E37">
      <w:pPr>
        <w:autoSpaceDE/>
        <w:autoSpaceDN/>
        <w:spacing w:line="240" w:lineRule="auto"/>
        <w:ind w:firstLine="480"/>
        <w:rPr>
          <w:rFonts w:ascii="宋体" w:hAnsi="Times New Roman" w:cs="Times New Roman"/>
          <w:szCs w:val="24"/>
        </w:rPr>
      </w:pPr>
      <w:r>
        <w:rPr>
          <w:rFonts w:hint="eastAsia" w:ascii="宋体" w:hAnsi="Times New Roman" w:cs="Times New Roman"/>
          <w:szCs w:val="24"/>
        </w:rPr>
        <w:t>3、若乙方安装的广告未通过甲方验收，乙方应在甲方规定期限内无偿整改，若整改后仍未通过验收，甲方有权随时解除或终止本合同，不再支付任何费用，已支付的费用乙方应予返还，且赔偿甲方遭受的损失。</w:t>
      </w:r>
    </w:p>
    <w:p w14:paraId="417429FE">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第九条 甲方的权利和义务</w:t>
      </w:r>
    </w:p>
    <w:p w14:paraId="3C42D43B">
      <w:pPr>
        <w:autoSpaceDE/>
        <w:autoSpaceDN/>
        <w:spacing w:line="240" w:lineRule="auto"/>
        <w:ind w:firstLine="480"/>
        <w:rPr>
          <w:rFonts w:ascii="宋体" w:hAnsi="Times New Roman" w:cs="Times New Roman"/>
          <w:szCs w:val="24"/>
        </w:rPr>
      </w:pPr>
      <w:r>
        <w:rPr>
          <w:rFonts w:hint="eastAsia" w:ascii="宋体" w:hAnsi="Times New Roman" w:cs="Times New Roman"/>
          <w:szCs w:val="24"/>
        </w:rPr>
        <w:t>1、甲方的权利</w:t>
      </w:r>
    </w:p>
    <w:p w14:paraId="5EB00726">
      <w:pPr>
        <w:autoSpaceDE/>
        <w:autoSpaceDN/>
        <w:spacing w:line="240" w:lineRule="auto"/>
        <w:ind w:firstLine="480"/>
        <w:rPr>
          <w:rFonts w:ascii="宋体" w:hAnsi="Times New Roman" w:cs="Times New Roman"/>
          <w:szCs w:val="24"/>
        </w:rPr>
      </w:pPr>
      <w:r>
        <w:rPr>
          <w:rFonts w:hint="eastAsia" w:ascii="宋体" w:hAnsi="Times New Roman" w:cs="Times New Roman"/>
          <w:szCs w:val="24"/>
        </w:rPr>
        <w:t>本合同约定的广告发布期限届满后，甲方在同等条件下享有优先续约权。</w:t>
      </w:r>
    </w:p>
    <w:p w14:paraId="336FDB4E">
      <w:pPr>
        <w:autoSpaceDE/>
        <w:autoSpaceDN/>
        <w:spacing w:line="240" w:lineRule="auto"/>
        <w:ind w:firstLine="480"/>
        <w:rPr>
          <w:rFonts w:ascii="宋体" w:hAnsi="Times New Roman" w:cs="Times New Roman"/>
          <w:szCs w:val="24"/>
        </w:rPr>
      </w:pPr>
      <w:r>
        <w:rPr>
          <w:rFonts w:hint="eastAsia" w:ascii="宋体" w:hAnsi="Times New Roman" w:cs="Times New Roman"/>
          <w:szCs w:val="24"/>
        </w:rPr>
        <w:t>2、甲方的义务</w:t>
      </w:r>
    </w:p>
    <w:p w14:paraId="09049872">
      <w:pPr>
        <w:autoSpaceDE/>
        <w:autoSpaceDN/>
        <w:spacing w:line="240" w:lineRule="auto"/>
        <w:ind w:firstLine="480"/>
        <w:rPr>
          <w:rFonts w:ascii="宋体" w:hAnsi="Times New Roman" w:cs="Times New Roman"/>
          <w:szCs w:val="24"/>
        </w:rPr>
      </w:pPr>
      <w:r>
        <w:rPr>
          <w:rFonts w:hint="eastAsia" w:ascii="宋体" w:hAnsi="Times New Roman" w:cs="Times New Roman"/>
          <w:szCs w:val="24"/>
        </w:rPr>
        <w:t>（1）甲方应按本合同约定及时向乙方支付广告费用；</w:t>
      </w:r>
    </w:p>
    <w:p w14:paraId="7E2534B2">
      <w:pPr>
        <w:autoSpaceDE/>
        <w:autoSpaceDN/>
        <w:spacing w:line="240" w:lineRule="auto"/>
        <w:ind w:firstLine="480"/>
        <w:rPr>
          <w:rFonts w:ascii="宋体" w:hAnsi="Times New Roman" w:cs="Times New Roman"/>
          <w:szCs w:val="24"/>
        </w:rPr>
      </w:pPr>
      <w:r>
        <w:rPr>
          <w:rFonts w:hint="eastAsia" w:ascii="宋体" w:hAnsi="Times New Roman" w:cs="Times New Roman"/>
          <w:szCs w:val="24"/>
        </w:rPr>
        <w:t>（2）甲方应保证其向乙方提供广告发布审批所需的所有有效证明文件的真实性和合法性；</w:t>
      </w:r>
    </w:p>
    <w:p w14:paraId="1A16137B">
      <w:pPr>
        <w:autoSpaceDE/>
        <w:autoSpaceDN/>
        <w:spacing w:line="240" w:lineRule="auto"/>
        <w:ind w:firstLine="480"/>
        <w:rPr>
          <w:rFonts w:ascii="宋体" w:hAnsi="Times New Roman" w:cs="Times New Roman"/>
          <w:szCs w:val="24"/>
        </w:rPr>
      </w:pPr>
      <w:r>
        <w:rPr>
          <w:rFonts w:hint="eastAsia" w:ascii="宋体" w:hAnsi="Times New Roman" w:cs="Times New Roman"/>
          <w:szCs w:val="24"/>
        </w:rPr>
        <w:t>（3）甲方应保证其向乙方提供广告样稿的内容和表现形式，不违反中国的相关法律法规，不侵犯他方的知识产权或其他权益。</w:t>
      </w:r>
      <w:r>
        <w:rPr>
          <w:rFonts w:hint="eastAsia" w:ascii="宋体" w:hAnsi="Times New Roman" w:cs="Times New Roman"/>
          <w:szCs w:val="24"/>
        </w:rPr>
        <w:tab/>
      </w:r>
    </w:p>
    <w:p w14:paraId="15089ACD">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第十条 乙方的权利和义务</w:t>
      </w:r>
    </w:p>
    <w:p w14:paraId="3D7E2380">
      <w:pPr>
        <w:autoSpaceDE/>
        <w:autoSpaceDN/>
        <w:spacing w:line="240" w:lineRule="auto"/>
        <w:ind w:firstLine="480"/>
        <w:rPr>
          <w:rFonts w:ascii="宋体" w:hAnsi="Times New Roman" w:cs="Times New Roman"/>
          <w:szCs w:val="24"/>
        </w:rPr>
      </w:pPr>
      <w:r>
        <w:rPr>
          <w:rFonts w:hint="eastAsia" w:ascii="宋体" w:hAnsi="Times New Roman" w:cs="Times New Roman"/>
          <w:szCs w:val="24"/>
        </w:rPr>
        <w:t>1、乙方的权利</w:t>
      </w:r>
    </w:p>
    <w:p w14:paraId="2D5F0DA2">
      <w:pPr>
        <w:autoSpaceDE/>
        <w:autoSpaceDN/>
        <w:spacing w:line="240" w:lineRule="auto"/>
        <w:ind w:firstLine="480"/>
        <w:rPr>
          <w:rFonts w:ascii="宋体" w:hAnsi="Times New Roman" w:cs="Times New Roman"/>
          <w:szCs w:val="24"/>
        </w:rPr>
      </w:pPr>
      <w:r>
        <w:rPr>
          <w:rFonts w:hint="eastAsia" w:ascii="宋体" w:hAnsi="Times New Roman" w:cs="Times New Roman"/>
          <w:szCs w:val="24"/>
        </w:rPr>
        <w:t>（1）乙方有权就其依本合同向甲方提供的广告制作发布服务向甲方收取约定的广告费用；</w:t>
      </w:r>
    </w:p>
    <w:p w14:paraId="5A6C7CFF">
      <w:pPr>
        <w:autoSpaceDE/>
        <w:autoSpaceDN/>
        <w:spacing w:line="240" w:lineRule="auto"/>
        <w:ind w:firstLine="480"/>
        <w:rPr>
          <w:rFonts w:ascii="宋体" w:hAnsi="Times New Roman" w:cs="Times New Roman"/>
          <w:szCs w:val="24"/>
        </w:rPr>
      </w:pPr>
      <w:r>
        <w:rPr>
          <w:rFonts w:hint="eastAsia" w:ascii="宋体" w:hAnsi="Times New Roman" w:cs="Times New Roman"/>
          <w:szCs w:val="24"/>
        </w:rPr>
        <w:t>（2）乙方有权审查甲方提供的广告样稿的内容和表现形式，对不符合中国相关法律法规的，乙方有权要求甲方更正；甲方如拒绝更正或经更正后仍不符合中国相关法律法规的要求的，乙方有权拒绝发布，因此造成的发布期延误或合同终止，乙方免责；</w:t>
      </w:r>
    </w:p>
    <w:p w14:paraId="35A32440">
      <w:pPr>
        <w:autoSpaceDE/>
        <w:autoSpaceDN/>
        <w:spacing w:line="240" w:lineRule="auto"/>
        <w:ind w:firstLine="480"/>
        <w:rPr>
          <w:rFonts w:ascii="宋体" w:hAnsi="Times New Roman" w:cs="Times New Roman"/>
          <w:szCs w:val="24"/>
        </w:rPr>
      </w:pPr>
      <w:r>
        <w:rPr>
          <w:rFonts w:hint="eastAsia" w:ascii="宋体" w:hAnsi="Times New Roman" w:cs="Times New Roman"/>
          <w:szCs w:val="24"/>
        </w:rPr>
        <w:t>（3）甲乙双方如无特别约定，用于广告发布的媒体附属设施或材料属于乙方所有。如甲方需要回收广告画面，则甲方应在本合同约定的广告发布期限届满前15个工作日内书面通知乙方，否则乙方有权自行处理；</w:t>
      </w:r>
    </w:p>
    <w:p w14:paraId="464E42E0">
      <w:pPr>
        <w:autoSpaceDE/>
        <w:autoSpaceDN/>
        <w:spacing w:line="240" w:lineRule="auto"/>
        <w:ind w:firstLine="480"/>
        <w:rPr>
          <w:rFonts w:ascii="宋体" w:hAnsi="Times New Roman" w:cs="Times New Roman"/>
          <w:szCs w:val="24"/>
        </w:rPr>
      </w:pPr>
      <w:r>
        <w:rPr>
          <w:rFonts w:hint="eastAsia" w:ascii="宋体" w:hAnsi="Times New Roman" w:cs="Times New Roman"/>
          <w:szCs w:val="24"/>
        </w:rPr>
        <w:t>（4）为履行本合同项下义务的需要，乙方有权合法利用来自任何第三方的商品或服务，但不得侵犯任何第三方的知识产权。</w:t>
      </w:r>
    </w:p>
    <w:p w14:paraId="107C939A">
      <w:pPr>
        <w:autoSpaceDE/>
        <w:autoSpaceDN/>
        <w:spacing w:line="240" w:lineRule="auto"/>
        <w:ind w:firstLine="480"/>
        <w:rPr>
          <w:rFonts w:ascii="宋体" w:hAnsi="Times New Roman" w:cs="Times New Roman"/>
          <w:szCs w:val="24"/>
        </w:rPr>
      </w:pPr>
      <w:r>
        <w:rPr>
          <w:rFonts w:hint="eastAsia" w:ascii="宋体" w:hAnsi="Times New Roman" w:cs="Times New Roman"/>
          <w:szCs w:val="24"/>
        </w:rPr>
        <w:t>2、乙方的义务</w:t>
      </w:r>
    </w:p>
    <w:p w14:paraId="0F25E1B6">
      <w:pPr>
        <w:autoSpaceDE/>
        <w:autoSpaceDN/>
        <w:spacing w:line="240" w:lineRule="auto"/>
        <w:ind w:firstLine="480"/>
        <w:rPr>
          <w:rFonts w:ascii="宋体" w:hAnsi="Times New Roman" w:cs="Times New Roman"/>
          <w:szCs w:val="24"/>
        </w:rPr>
      </w:pPr>
      <w:r>
        <w:rPr>
          <w:rFonts w:hint="eastAsia" w:ascii="宋体" w:hAnsi="Times New Roman" w:cs="Times New Roman"/>
          <w:szCs w:val="24"/>
        </w:rPr>
        <w:t>（1）乙方应按约定及时发布甲方的广告；</w:t>
      </w:r>
    </w:p>
    <w:p w14:paraId="1D38F031">
      <w:pPr>
        <w:autoSpaceDE/>
        <w:autoSpaceDN/>
        <w:spacing w:line="240" w:lineRule="auto"/>
        <w:ind w:firstLine="480"/>
        <w:rPr>
          <w:rFonts w:ascii="宋体" w:hAnsi="Times New Roman" w:cs="Times New Roman"/>
          <w:szCs w:val="24"/>
        </w:rPr>
      </w:pPr>
      <w:r>
        <w:rPr>
          <w:rFonts w:hint="eastAsia" w:ascii="宋体" w:hAnsi="Times New Roman" w:cs="Times New Roman"/>
          <w:szCs w:val="24"/>
        </w:rPr>
        <w:t>（2）乙方应根据甲方提供的广告样稿进行广告画面制作，未经甲方同意，乙方不得擅自更改甲方的广告样稿；</w:t>
      </w:r>
    </w:p>
    <w:p w14:paraId="0EB81546">
      <w:pPr>
        <w:autoSpaceDE/>
        <w:autoSpaceDN/>
        <w:spacing w:line="240" w:lineRule="auto"/>
        <w:ind w:firstLine="480"/>
        <w:rPr>
          <w:rFonts w:ascii="宋体" w:hAnsi="Times New Roman" w:cs="Times New Roman"/>
          <w:szCs w:val="24"/>
        </w:rPr>
      </w:pPr>
      <w:r>
        <w:rPr>
          <w:rFonts w:hint="eastAsia" w:ascii="宋体" w:hAnsi="Times New Roman" w:cs="Times New Roman"/>
          <w:szCs w:val="24"/>
        </w:rPr>
        <w:t>（3）乙方负责广告发布期间广告媒体的安装、维护和日常维修保养；定期巡检、监测，每两个月提供一次巡检、监测报告；对于发布期间发生的损坏，乙方应及时书面通知甲方并应该在3个工作日内修复，并且乙方应在合约约定的发布期结束后顺延发布时间的方式予以补偿；因广告媒体、展架、柱体、灯具等损坏引起其他人身、财产损失的，均由乙方负责处理并作出相应的赔偿，给甲方造成损失的，乙方还应赔偿甲方全部损失。若甲方因此对外承担赔偿责任的，无论本合同解除或终止与否，甲方均有权向乙方追偿。</w:t>
      </w:r>
    </w:p>
    <w:p w14:paraId="732662F8">
      <w:pPr>
        <w:autoSpaceDE/>
        <w:autoSpaceDN/>
        <w:spacing w:line="240" w:lineRule="auto"/>
        <w:ind w:firstLine="480"/>
        <w:rPr>
          <w:rFonts w:ascii="宋体" w:hAnsi="Times New Roman" w:cs="Times New Roman"/>
          <w:szCs w:val="24"/>
        </w:rPr>
      </w:pPr>
      <w:r>
        <w:rPr>
          <w:rFonts w:hint="eastAsia" w:ascii="宋体" w:hAnsi="Times New Roman" w:cs="Times New Roman"/>
          <w:szCs w:val="24"/>
        </w:rPr>
        <w:t>（4）在本合同约定的广告期内，如因广告媒体周边的任何建筑、设施或其他物体需进行修建或诸如政府方面的任何原因导致广告暂时无法发布或被遮盖，乙方应尽快通知甲方，并应顺延广告发布时间以补偿本合同约定的广告发布受到影响的时间，或由双方商定其他补偿方式；如影响广告发布的情形无法排除，甲方有权终止本合同，乙方有义务在接到甲方合同终止书面通知7个工作日内，退还按发布时间计算甲方已支付的未发布广告费用。</w:t>
      </w:r>
    </w:p>
    <w:p w14:paraId="6B585EEF">
      <w:pPr>
        <w:autoSpaceDE/>
        <w:autoSpaceDN/>
        <w:spacing w:line="240" w:lineRule="auto"/>
        <w:ind w:firstLine="480"/>
        <w:rPr>
          <w:rFonts w:ascii="宋体" w:hAnsi="Times New Roman" w:cs="Times New Roman"/>
          <w:szCs w:val="24"/>
        </w:rPr>
      </w:pPr>
      <w:r>
        <w:rPr>
          <w:rFonts w:hint="eastAsia" w:ascii="宋体" w:hAnsi="Times New Roman" w:cs="Times New Roman"/>
          <w:szCs w:val="24"/>
        </w:rPr>
        <w:t>（5）如广告的画面受到任何损毁，乙方须及时通知甲方。</w:t>
      </w:r>
    </w:p>
    <w:p w14:paraId="03B835F5">
      <w:pPr>
        <w:autoSpaceDE/>
        <w:autoSpaceDN/>
        <w:spacing w:line="240" w:lineRule="auto"/>
        <w:ind w:firstLine="480"/>
        <w:rPr>
          <w:rFonts w:ascii="宋体" w:hAnsi="Times New Roman" w:cs="Times New Roman"/>
          <w:szCs w:val="24"/>
        </w:rPr>
      </w:pPr>
      <w:r>
        <w:rPr>
          <w:rFonts w:hint="eastAsia" w:ascii="宋体" w:hAnsi="Times New Roman" w:cs="Times New Roman"/>
          <w:szCs w:val="24"/>
        </w:rPr>
        <w:t>（6）未经甲方同意，乙方不得擅自拆除、改建、加建或遮挡广告媒体的任何部分。</w:t>
      </w:r>
    </w:p>
    <w:p w14:paraId="3A3CF444">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第十一条 保密义务及其他不作为义务</w:t>
      </w:r>
    </w:p>
    <w:p w14:paraId="77628F2E">
      <w:pPr>
        <w:autoSpaceDE/>
        <w:autoSpaceDN/>
        <w:spacing w:line="240" w:lineRule="auto"/>
        <w:ind w:firstLine="480"/>
        <w:rPr>
          <w:rFonts w:ascii="宋体" w:hAnsi="Times New Roman" w:cs="Times New Roman"/>
          <w:szCs w:val="24"/>
        </w:rPr>
      </w:pPr>
      <w:r>
        <w:rPr>
          <w:rFonts w:hint="eastAsia" w:ascii="宋体" w:hAnsi="Times New Roman" w:cs="Times New Roman"/>
          <w:szCs w:val="24"/>
        </w:rPr>
        <w:t>1、甲乙双方应对其通过订立和履行本合同而获悉的对方的商业秘密严格保密，未经对方事先书面同意，不得以任何方式进行利用、向任何第三方披露或以其他方式予以公开。</w:t>
      </w:r>
    </w:p>
    <w:p w14:paraId="749178B9">
      <w:pPr>
        <w:autoSpaceDE/>
        <w:autoSpaceDN/>
        <w:spacing w:line="240" w:lineRule="auto"/>
        <w:ind w:firstLine="480"/>
        <w:rPr>
          <w:rFonts w:ascii="宋体" w:hAnsi="Times New Roman" w:cs="Times New Roman"/>
          <w:szCs w:val="24"/>
        </w:rPr>
      </w:pPr>
      <w:r>
        <w:rPr>
          <w:rFonts w:hint="eastAsia" w:ascii="宋体" w:hAnsi="Times New Roman" w:cs="Times New Roman"/>
          <w:szCs w:val="24"/>
        </w:rPr>
        <w:t>2、未经对方许可，任何一方不得向第三方（有关法律、法规、政府部门、证券交易所或其他监管机构要求和双方的法律、会计、商业及其他顾问、雇员除外）泄露本合同的任何内容以及本合同的签订及履行情况，以及通过签订和履行本合同而获知的对方及对方关联公司的任何信息。</w:t>
      </w:r>
    </w:p>
    <w:p w14:paraId="44D59815">
      <w:pPr>
        <w:autoSpaceDE/>
        <w:autoSpaceDN/>
        <w:spacing w:line="240" w:lineRule="auto"/>
        <w:ind w:firstLine="480"/>
        <w:rPr>
          <w:rFonts w:ascii="宋体" w:hAnsi="Times New Roman" w:cs="Times New Roman"/>
          <w:szCs w:val="24"/>
        </w:rPr>
      </w:pPr>
      <w:r>
        <w:rPr>
          <w:rFonts w:hint="eastAsia" w:ascii="宋体" w:hAnsi="Times New Roman" w:cs="Times New Roman"/>
          <w:szCs w:val="24"/>
        </w:rPr>
        <w:t>3、除订立与履行本合同项下义务之需要外，未经对方事先书面同意，任何一方不得擅自使用、复制对方的商标、标志、商业信息、广告样稿资料、技术及其他资料。</w:t>
      </w:r>
    </w:p>
    <w:p w14:paraId="7F51A106">
      <w:pPr>
        <w:autoSpaceDE/>
        <w:autoSpaceDN/>
        <w:spacing w:line="240" w:lineRule="auto"/>
        <w:ind w:firstLine="480"/>
        <w:rPr>
          <w:rFonts w:ascii="宋体" w:hAnsi="Times New Roman" w:cs="Times New Roman"/>
          <w:szCs w:val="24"/>
        </w:rPr>
      </w:pPr>
      <w:r>
        <w:rPr>
          <w:rFonts w:hint="eastAsia" w:ascii="宋体" w:hAnsi="Times New Roman" w:cs="Times New Roman"/>
          <w:szCs w:val="24"/>
        </w:rPr>
        <w:t>4、甲乙双方的上述保密义务不因本合同的无效、终止或被解除而终止。</w:t>
      </w:r>
    </w:p>
    <w:p w14:paraId="427099ED">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第十二条 合同变更与终止</w:t>
      </w:r>
    </w:p>
    <w:p w14:paraId="62A23368">
      <w:pPr>
        <w:autoSpaceDE/>
        <w:autoSpaceDN/>
        <w:spacing w:line="240" w:lineRule="auto"/>
        <w:ind w:firstLine="480"/>
        <w:rPr>
          <w:rFonts w:ascii="宋体" w:hAnsi="Times New Roman" w:cs="Times New Roman"/>
          <w:szCs w:val="24"/>
        </w:rPr>
      </w:pPr>
      <w:r>
        <w:rPr>
          <w:rFonts w:hint="eastAsia" w:ascii="宋体" w:hAnsi="Times New Roman" w:cs="Times New Roman"/>
          <w:szCs w:val="24"/>
        </w:rPr>
        <w:t>1、经甲乙双方协商一致，可签订书面协议变更本合同。</w:t>
      </w:r>
    </w:p>
    <w:p w14:paraId="2A544150">
      <w:pPr>
        <w:autoSpaceDE/>
        <w:autoSpaceDN/>
        <w:spacing w:line="240" w:lineRule="auto"/>
        <w:ind w:firstLine="480"/>
        <w:rPr>
          <w:rFonts w:ascii="宋体" w:hAnsi="Times New Roman" w:cs="Times New Roman"/>
          <w:szCs w:val="24"/>
        </w:rPr>
      </w:pPr>
      <w:r>
        <w:rPr>
          <w:rFonts w:hint="eastAsia" w:ascii="宋体" w:hAnsi="Times New Roman" w:cs="Times New Roman"/>
          <w:szCs w:val="24"/>
        </w:rPr>
        <w:t>2、发生下列情形，本合同终止：</w:t>
      </w:r>
    </w:p>
    <w:p w14:paraId="2AC06AB0">
      <w:pPr>
        <w:autoSpaceDE/>
        <w:autoSpaceDN/>
        <w:spacing w:line="240" w:lineRule="auto"/>
        <w:ind w:firstLine="480"/>
        <w:rPr>
          <w:rFonts w:ascii="宋体" w:hAnsi="Times New Roman" w:cs="Times New Roman"/>
          <w:szCs w:val="24"/>
        </w:rPr>
      </w:pPr>
      <w:r>
        <w:rPr>
          <w:rFonts w:hint="eastAsia" w:ascii="宋体" w:hAnsi="Times New Roman" w:cs="Times New Roman"/>
          <w:szCs w:val="24"/>
        </w:rPr>
        <w:t>（1）甲乙双方协商一致，终止本合同的；</w:t>
      </w:r>
    </w:p>
    <w:p w14:paraId="38F73616">
      <w:pPr>
        <w:autoSpaceDE/>
        <w:autoSpaceDN/>
        <w:spacing w:line="240" w:lineRule="auto"/>
        <w:ind w:firstLine="480"/>
        <w:rPr>
          <w:rFonts w:ascii="宋体" w:hAnsi="Times New Roman" w:cs="Times New Roman"/>
          <w:szCs w:val="24"/>
        </w:rPr>
      </w:pPr>
      <w:r>
        <w:rPr>
          <w:rFonts w:hint="eastAsia" w:ascii="宋体" w:hAnsi="Times New Roman" w:cs="Times New Roman"/>
          <w:szCs w:val="24"/>
        </w:rPr>
        <w:t>（2）本合同约定的权利义务已经履行完毕，且甲乙双方未能就续约达成一致意见；</w:t>
      </w:r>
    </w:p>
    <w:p w14:paraId="08ACAF7E">
      <w:pPr>
        <w:autoSpaceDE/>
        <w:autoSpaceDN/>
        <w:spacing w:line="240" w:lineRule="auto"/>
        <w:ind w:firstLine="480"/>
        <w:rPr>
          <w:rFonts w:ascii="宋体" w:hAnsi="Times New Roman" w:cs="Times New Roman"/>
          <w:szCs w:val="24"/>
        </w:rPr>
      </w:pPr>
      <w:r>
        <w:rPr>
          <w:rFonts w:hint="eastAsia" w:ascii="宋体" w:hAnsi="Times New Roman" w:cs="Times New Roman"/>
          <w:szCs w:val="24"/>
        </w:rPr>
        <w:t>（3）发生不可抗力事件，本合同的一方当事人不能履行其在本合同项下的义务超过六个月，使另一方当事人订立合同的目的不能实现的；</w:t>
      </w:r>
    </w:p>
    <w:p w14:paraId="61C8AC4D">
      <w:pPr>
        <w:autoSpaceDE/>
        <w:autoSpaceDN/>
        <w:spacing w:line="240" w:lineRule="auto"/>
        <w:ind w:firstLine="480"/>
        <w:rPr>
          <w:rFonts w:ascii="宋体" w:hAnsi="Times New Roman" w:cs="Times New Roman"/>
          <w:szCs w:val="24"/>
        </w:rPr>
      </w:pPr>
      <w:r>
        <w:rPr>
          <w:rFonts w:hint="eastAsia" w:ascii="宋体" w:hAnsi="Times New Roman" w:cs="Times New Roman"/>
          <w:szCs w:val="24"/>
        </w:rPr>
        <w:t>（4）由于本合同约定的广告媒体附近建立起任何新的建筑、房屋或其他广告媒体使该广告媒体的外观或其他视觉效果受到影响，以至该广告媒体对甲方而言不再适宜发布广告或达不到广告效果；</w:t>
      </w:r>
    </w:p>
    <w:p w14:paraId="5A7651E5">
      <w:pPr>
        <w:autoSpaceDE/>
        <w:autoSpaceDN/>
        <w:spacing w:line="240" w:lineRule="auto"/>
        <w:ind w:firstLine="480"/>
        <w:rPr>
          <w:rFonts w:ascii="宋体" w:hAnsi="Times New Roman" w:cs="Times New Roman"/>
          <w:szCs w:val="24"/>
        </w:rPr>
      </w:pPr>
      <w:r>
        <w:rPr>
          <w:rFonts w:hint="eastAsia" w:ascii="宋体" w:hAnsi="Times New Roman" w:cs="Times New Roman"/>
          <w:szCs w:val="24"/>
        </w:rPr>
        <w:t>（5）其他法律、法规规定合同终止的情形。</w:t>
      </w:r>
    </w:p>
    <w:p w14:paraId="4F93D2A8">
      <w:pPr>
        <w:autoSpaceDE/>
        <w:autoSpaceDN/>
        <w:spacing w:line="240" w:lineRule="auto"/>
        <w:ind w:firstLine="480"/>
        <w:rPr>
          <w:rFonts w:ascii="宋体" w:hAnsi="Times New Roman" w:cs="Times New Roman"/>
          <w:szCs w:val="24"/>
        </w:rPr>
      </w:pPr>
      <w:r>
        <w:rPr>
          <w:rFonts w:hint="eastAsia" w:ascii="宋体" w:hAnsi="Times New Roman" w:cs="Times New Roman"/>
          <w:szCs w:val="24"/>
        </w:rPr>
        <w:t>3、发现上述第2款第（1）（3）（4）项情形，双方按实际发布天数结算广告发布费用；出现第2款第（3）项情形，不可抗力发生之日起期满六个月时，本合同自动终止；出现第2款第（4）项情形，甲方书面通知乙方之日，本合同终止。</w:t>
      </w:r>
    </w:p>
    <w:p w14:paraId="6A4B26D4">
      <w:pPr>
        <w:autoSpaceDE/>
        <w:autoSpaceDN/>
        <w:spacing w:line="240" w:lineRule="auto"/>
        <w:ind w:firstLine="480"/>
        <w:rPr>
          <w:rFonts w:ascii="宋体" w:hAnsi="Times New Roman" w:cs="Times New Roman"/>
          <w:szCs w:val="24"/>
        </w:rPr>
      </w:pPr>
      <w:r>
        <w:rPr>
          <w:rFonts w:hint="eastAsia" w:ascii="宋体" w:hAnsi="Times New Roman" w:cs="Times New Roman"/>
          <w:szCs w:val="24"/>
        </w:rPr>
        <w:t>4、本合同终止或解除后，甲乙双方应自行承担退还对方为履行本合同而向其提供的各项资料及其副本的费用。</w:t>
      </w:r>
    </w:p>
    <w:p w14:paraId="0734D340">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第十三条 不可抗力</w:t>
      </w:r>
    </w:p>
    <w:p w14:paraId="3695C26A">
      <w:pPr>
        <w:autoSpaceDE/>
        <w:autoSpaceDN/>
        <w:spacing w:line="240" w:lineRule="auto"/>
        <w:ind w:firstLine="480"/>
        <w:rPr>
          <w:rFonts w:ascii="宋体" w:hAnsi="Times New Roman" w:cs="Times New Roman"/>
          <w:szCs w:val="24"/>
        </w:rPr>
      </w:pPr>
      <w:r>
        <w:rPr>
          <w:rFonts w:hint="eastAsia" w:ascii="宋体" w:hAnsi="Times New Roman" w:cs="Times New Roman"/>
          <w:szCs w:val="24"/>
        </w:rPr>
        <w:t>乙方如因自然灾害（如台风、地震、洪水、冰雹）、政府行为（如征收、征用）、社会异常事件（如罢工、骚乱）等不可抗力之情事发生，致无法如期履行本合同之义务时，乙方应及时书面通知甲方，则免负迟延履约责任。但前述情事结束后，乙方应继续履行本合同。如不可抗力短期内无法解除，则按本合同第十二条执行。但若因乙方违约后再发生不可抗力的，双方按实际发布天数结算广告发布费用且乙方应向甲方支付本合同总额20%的违约金。</w:t>
      </w:r>
    </w:p>
    <w:p w14:paraId="663C7B04">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第十四条 违约责任</w:t>
      </w:r>
    </w:p>
    <w:p w14:paraId="71B27F8B">
      <w:pPr>
        <w:autoSpaceDE/>
        <w:autoSpaceDN/>
        <w:spacing w:line="240" w:lineRule="auto"/>
        <w:ind w:firstLine="480"/>
        <w:rPr>
          <w:rFonts w:ascii="宋体" w:hAnsi="Times New Roman" w:cs="Times New Roman"/>
          <w:szCs w:val="24"/>
        </w:rPr>
      </w:pPr>
      <w:r>
        <w:rPr>
          <w:rFonts w:hint="eastAsia" w:ascii="宋体" w:hAnsi="Times New Roman" w:cs="Times New Roman"/>
          <w:szCs w:val="24"/>
        </w:rPr>
        <w:t>本合同当事人的下列行为构成违约，违约方应向守约方承担违约责任：</w:t>
      </w:r>
    </w:p>
    <w:p w14:paraId="5358C598">
      <w:pPr>
        <w:autoSpaceDE/>
        <w:autoSpaceDN/>
        <w:spacing w:line="240" w:lineRule="auto"/>
        <w:ind w:firstLine="480"/>
        <w:rPr>
          <w:rFonts w:ascii="宋体" w:hAnsi="Times New Roman" w:cs="Times New Roman"/>
          <w:szCs w:val="24"/>
        </w:rPr>
      </w:pPr>
      <w:r>
        <w:rPr>
          <w:rFonts w:hint="eastAsia" w:ascii="宋体" w:hAnsi="Times New Roman" w:cs="Times New Roman"/>
          <w:szCs w:val="24"/>
        </w:rPr>
        <w:t>1、若因甲方自身原因未能按照本合同约定向乙方支付费用，甲方应每日按逾期支付金额的万分之五的比例就逾期支付天数向乙方支付违约金，但最高不超过合同总额的5%。若甲方在付款期届满后30日内仍未能支付到期款项的，乙方有权通知甲方终止合同、撤除广告并继续追索未付款项及迟延付款违约金，并要求甲方赔偿乙方因甲方迟延付款而遭受的损失。</w:t>
      </w:r>
    </w:p>
    <w:p w14:paraId="2EE67080">
      <w:pPr>
        <w:autoSpaceDE/>
        <w:autoSpaceDN/>
        <w:spacing w:line="240" w:lineRule="auto"/>
        <w:ind w:firstLine="480"/>
        <w:rPr>
          <w:rFonts w:ascii="宋体" w:hAnsi="Times New Roman" w:cs="Times New Roman"/>
          <w:szCs w:val="24"/>
        </w:rPr>
      </w:pPr>
      <w:r>
        <w:rPr>
          <w:rFonts w:hint="eastAsia" w:ascii="宋体" w:hAnsi="Times New Roman" w:cs="Times New Roman"/>
          <w:szCs w:val="24"/>
        </w:rPr>
        <w:t>2、若乙方因自身原因未按约定时间制作、发布及维护、更换，乙方应每日按合同总额万分之五的比例就逾期天数向甲方支付违约金并顺延发布时间，但最高不超过合同总额的5%。若乙方在逾期后30日内仍未能安装发布、及维护完毕，甲方有权通知乙方终止合同，不再支付任何费用，并继续追索乙方赔偿甲方因乙方迟延履行合同而遭受的损失。</w:t>
      </w:r>
    </w:p>
    <w:p w14:paraId="1FCDD609">
      <w:pPr>
        <w:autoSpaceDE/>
        <w:autoSpaceDN/>
        <w:spacing w:line="240" w:lineRule="auto"/>
        <w:ind w:firstLine="480"/>
        <w:rPr>
          <w:rFonts w:ascii="宋体" w:hAnsi="Times New Roman" w:cs="Times New Roman"/>
          <w:szCs w:val="24"/>
        </w:rPr>
      </w:pPr>
      <w:r>
        <w:rPr>
          <w:rFonts w:hint="eastAsia" w:ascii="宋体" w:hAnsi="Times New Roman" w:cs="Times New Roman"/>
          <w:szCs w:val="24"/>
        </w:rPr>
        <w:t>3、广告发布期内，非因甲方原因导致广告发布被中断的，乙方应自中断之日起，按合同总额万分之五/日向甲方支付违约金直至广告恢复发布，且广告恢复发布后应顺延发布时间；广告发布期内，非因甲方原因导致广告发布被终止或取消的，乙方应按合同总额的20%向甲方支付违约金。</w:t>
      </w:r>
    </w:p>
    <w:p w14:paraId="1B3E1C20">
      <w:pPr>
        <w:autoSpaceDE/>
        <w:autoSpaceDN/>
        <w:spacing w:line="240" w:lineRule="auto"/>
        <w:ind w:firstLine="480"/>
        <w:rPr>
          <w:rFonts w:ascii="宋体" w:hAnsi="Times New Roman" w:cs="Times New Roman"/>
          <w:szCs w:val="24"/>
        </w:rPr>
      </w:pPr>
      <w:r>
        <w:rPr>
          <w:rFonts w:hint="eastAsia" w:ascii="宋体" w:hAnsi="Times New Roman" w:cs="Times New Roman"/>
          <w:szCs w:val="24"/>
        </w:rPr>
        <w:t>4、除本合同另有约定外，本合同一方当事人未能履行本合同约定的承诺或义务，且在收到对方要求纠正违约行为的通知后7日内仍未能补救的，守约方有权单方面终止本合同，造成损失的，守约方有权继续追索有关损失。</w:t>
      </w:r>
    </w:p>
    <w:p w14:paraId="7C8A9B66">
      <w:pPr>
        <w:autoSpaceDE/>
        <w:autoSpaceDN/>
        <w:spacing w:line="240" w:lineRule="auto"/>
        <w:ind w:firstLine="480"/>
        <w:rPr>
          <w:rFonts w:ascii="宋体" w:hAnsi="Times New Roman" w:cs="Times New Roman"/>
          <w:szCs w:val="24"/>
        </w:rPr>
      </w:pPr>
      <w:r>
        <w:rPr>
          <w:rFonts w:hint="eastAsia" w:ascii="宋体" w:hAnsi="Times New Roman" w:cs="Times New Roman"/>
          <w:szCs w:val="24"/>
        </w:rPr>
        <w:t>5、乙方应于广告发布到期前1个月通知甲方，甲方应于发布到期前10个工作日通知乙方是否续签（甲方未回复的视为不同意续签），因乙方原因造成广告在同等条件下无法继续发布，乙方应赔偿合同总额的20%给甲方并退还甲方已支付还未实际发布的费用。</w:t>
      </w:r>
    </w:p>
    <w:p w14:paraId="077390EA">
      <w:pPr>
        <w:autoSpaceDE/>
        <w:autoSpaceDN/>
        <w:spacing w:line="240" w:lineRule="auto"/>
        <w:ind w:firstLine="480"/>
        <w:rPr>
          <w:rFonts w:ascii="宋体" w:hAnsi="Times New Roman" w:cs="Times New Roman"/>
          <w:szCs w:val="24"/>
        </w:rPr>
      </w:pPr>
      <w:r>
        <w:rPr>
          <w:rFonts w:hint="eastAsia" w:ascii="宋体" w:hAnsi="Times New Roman" w:cs="Times New Roman"/>
          <w:szCs w:val="24"/>
        </w:rPr>
        <w:t>6、若乙方提供的任何产品或服务侵犯任何方知识产权或其他合法权益的，由乙方自行负责赔偿事宜，给甲方造成损失的，乙方应全额赔偿甲方并向甲方支付本合同总额20%的违约金。</w:t>
      </w:r>
    </w:p>
    <w:p w14:paraId="12D093D9">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第十五条 通知与送达</w:t>
      </w:r>
    </w:p>
    <w:p w14:paraId="15DEAC5C">
      <w:pPr>
        <w:autoSpaceDE/>
        <w:autoSpaceDN/>
        <w:spacing w:line="240" w:lineRule="auto"/>
        <w:ind w:firstLine="480"/>
        <w:rPr>
          <w:rFonts w:ascii="宋体" w:hAnsi="Times New Roman" w:cs="Times New Roman"/>
          <w:szCs w:val="24"/>
        </w:rPr>
      </w:pPr>
      <w:r>
        <w:rPr>
          <w:rFonts w:hint="eastAsia" w:ascii="宋体" w:hAnsi="Times New Roman" w:cs="Times New Roman"/>
          <w:szCs w:val="24"/>
        </w:rPr>
        <w:t>1、除本合同特别约定或双方另有约定，本合同项下的所有通知均应通过书面进行，方式包括专人传送、邮寄或电子邮箱传送，双方联系方式、通讯地址、电子邮箱等信息在本合同尾部载明，并同意在经过以下时间时视为送达。</w:t>
      </w:r>
    </w:p>
    <w:p w14:paraId="280A8F8B">
      <w:pPr>
        <w:autoSpaceDE/>
        <w:autoSpaceDN/>
        <w:spacing w:line="240" w:lineRule="auto"/>
        <w:ind w:firstLine="480"/>
        <w:rPr>
          <w:rFonts w:ascii="宋体" w:hAnsi="Times New Roman" w:cs="Times New Roman"/>
          <w:szCs w:val="24"/>
        </w:rPr>
      </w:pPr>
      <w:r>
        <w:rPr>
          <w:rFonts w:hint="eastAsia" w:ascii="宋体" w:hAnsi="Times New Roman" w:cs="Times New Roman"/>
          <w:szCs w:val="24"/>
        </w:rPr>
        <w:t>（1）通过专人递送的，在送达时；</w:t>
      </w:r>
    </w:p>
    <w:p w14:paraId="6A090678">
      <w:pPr>
        <w:autoSpaceDE/>
        <w:autoSpaceDN/>
        <w:spacing w:line="240" w:lineRule="auto"/>
        <w:ind w:firstLine="480"/>
        <w:rPr>
          <w:rFonts w:ascii="宋体" w:hAnsi="Times New Roman" w:cs="Times New Roman"/>
          <w:szCs w:val="24"/>
        </w:rPr>
      </w:pPr>
      <w:r>
        <w:rPr>
          <w:rFonts w:hint="eastAsia" w:ascii="宋体" w:hAnsi="Times New Roman" w:cs="Times New Roman"/>
          <w:szCs w:val="24"/>
        </w:rPr>
        <w:t>（2）以邮寄方式发送的，于投寄后第三个工作日上午九时；</w:t>
      </w:r>
    </w:p>
    <w:p w14:paraId="50F92C9F">
      <w:pPr>
        <w:autoSpaceDE/>
        <w:autoSpaceDN/>
        <w:spacing w:line="240" w:lineRule="auto"/>
        <w:ind w:firstLine="480"/>
        <w:rPr>
          <w:rFonts w:ascii="宋体" w:hAnsi="Times New Roman" w:cs="Times New Roman"/>
          <w:szCs w:val="24"/>
        </w:rPr>
      </w:pPr>
      <w:r>
        <w:rPr>
          <w:rFonts w:hint="eastAsia" w:ascii="宋体" w:hAnsi="Times New Roman" w:cs="Times New Roman"/>
          <w:szCs w:val="24"/>
        </w:rPr>
        <w:t>（3）通过电子邮箱发送，在相关电子邮件发送时。</w:t>
      </w:r>
    </w:p>
    <w:p w14:paraId="56E5FDBA">
      <w:pPr>
        <w:autoSpaceDE/>
        <w:autoSpaceDN/>
        <w:spacing w:line="240" w:lineRule="auto"/>
        <w:ind w:firstLine="480"/>
        <w:rPr>
          <w:rFonts w:ascii="宋体" w:hAnsi="Times New Roman" w:cs="Times New Roman"/>
          <w:szCs w:val="24"/>
        </w:rPr>
      </w:pPr>
      <w:r>
        <w:rPr>
          <w:rFonts w:hint="eastAsia" w:ascii="宋体" w:hAnsi="Times New Roman" w:cs="Times New Roman"/>
          <w:szCs w:val="24"/>
        </w:rPr>
        <w:t>2、本合同尾部填写的通讯地址也是因本合同发生的争议、纠纷等提起诉讼或仲裁、申请公证执行时接受司法（仲裁、公证）机关送达司法（仲裁、公证）文书的地址；凡向本合同尾部的通讯地址投递寄送的文书，除能证明未送至该地址外，无论是否签收，均视为已送达。</w:t>
      </w:r>
    </w:p>
    <w:p w14:paraId="533F5BDF">
      <w:pPr>
        <w:autoSpaceDE/>
        <w:autoSpaceDN/>
        <w:spacing w:line="240" w:lineRule="auto"/>
        <w:ind w:firstLine="480"/>
        <w:rPr>
          <w:rFonts w:ascii="宋体" w:hAnsi="Times New Roman" w:cs="Times New Roman"/>
          <w:szCs w:val="24"/>
        </w:rPr>
      </w:pPr>
      <w:r>
        <w:rPr>
          <w:rFonts w:hint="eastAsia" w:ascii="宋体" w:hAnsi="Times New Roman" w:cs="Times New Roman"/>
          <w:szCs w:val="24"/>
        </w:rPr>
        <w:t>3、本合同项下任何通讯地址、联系方式发生变更，发生变更的一方均应书面通知对方。</w:t>
      </w:r>
    </w:p>
    <w:p w14:paraId="1FCEDE64">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第十六条 争议解决及法律适用</w:t>
      </w:r>
    </w:p>
    <w:p w14:paraId="656D27DA">
      <w:pPr>
        <w:autoSpaceDE/>
        <w:autoSpaceDN/>
        <w:spacing w:line="240" w:lineRule="auto"/>
        <w:ind w:firstLine="480"/>
        <w:rPr>
          <w:rFonts w:ascii="宋体" w:hAnsi="Times New Roman" w:cs="Times New Roman"/>
          <w:szCs w:val="24"/>
        </w:rPr>
      </w:pPr>
      <w:r>
        <w:rPr>
          <w:rFonts w:hint="eastAsia" w:ascii="宋体" w:hAnsi="Times New Roman" w:cs="Times New Roman"/>
          <w:szCs w:val="24"/>
        </w:rPr>
        <w:t>1、甲乙双方如因本合同的订立、履行或解释发生任何争议，应进行友好协商；协商不成时，任何一方均可向本合同尾部载明的甲方通讯地址所在地的有管辖权的人民法院提起诉讼。</w:t>
      </w:r>
    </w:p>
    <w:p w14:paraId="4299D699">
      <w:pPr>
        <w:autoSpaceDE/>
        <w:autoSpaceDN/>
        <w:spacing w:line="240" w:lineRule="auto"/>
        <w:ind w:firstLine="480"/>
        <w:rPr>
          <w:rFonts w:ascii="宋体" w:hAnsi="Times New Roman" w:cs="Times New Roman"/>
          <w:szCs w:val="24"/>
        </w:rPr>
      </w:pPr>
      <w:r>
        <w:rPr>
          <w:rFonts w:hint="eastAsia" w:ascii="宋体" w:hAnsi="Times New Roman" w:cs="Times New Roman"/>
          <w:szCs w:val="24"/>
        </w:rPr>
        <w:t>2、本合同的订立、履行、解释及争议的解决均应适用中华人民共和国的法律。</w:t>
      </w:r>
    </w:p>
    <w:p w14:paraId="49BD0D8E">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第十七条 其他条款</w:t>
      </w:r>
    </w:p>
    <w:p w14:paraId="258F9848">
      <w:pPr>
        <w:autoSpaceDE/>
        <w:autoSpaceDN/>
        <w:spacing w:line="240" w:lineRule="auto"/>
        <w:ind w:firstLine="480"/>
        <w:rPr>
          <w:rFonts w:ascii="宋体" w:hAnsi="Times New Roman" w:cs="Times New Roman"/>
          <w:szCs w:val="24"/>
        </w:rPr>
      </w:pPr>
      <w:r>
        <w:rPr>
          <w:rFonts w:hint="eastAsia" w:ascii="宋体" w:hAnsi="Times New Roman" w:cs="Times New Roman"/>
          <w:szCs w:val="24"/>
        </w:rPr>
        <w:t>1、本合同的标题及各条款的标题仅为检索方便而拟定，不应用来解释合同条款的含义。</w:t>
      </w:r>
    </w:p>
    <w:p w14:paraId="686A8769">
      <w:pPr>
        <w:autoSpaceDE/>
        <w:autoSpaceDN/>
        <w:spacing w:line="240" w:lineRule="auto"/>
        <w:ind w:firstLine="480"/>
        <w:rPr>
          <w:rFonts w:ascii="宋体" w:hAnsi="Times New Roman" w:cs="Times New Roman"/>
          <w:szCs w:val="24"/>
        </w:rPr>
      </w:pPr>
      <w:r>
        <w:rPr>
          <w:rFonts w:hint="eastAsia" w:ascii="宋体" w:hAnsi="Times New Roman" w:cs="Times New Roman"/>
          <w:szCs w:val="24"/>
        </w:rPr>
        <w:t>2、本合同自双方盖章之日起生效。</w:t>
      </w:r>
    </w:p>
    <w:p w14:paraId="1D6F0282">
      <w:pPr>
        <w:autoSpaceDE/>
        <w:autoSpaceDN/>
        <w:spacing w:line="240" w:lineRule="auto"/>
        <w:ind w:firstLine="480"/>
        <w:rPr>
          <w:rFonts w:ascii="宋体" w:hAnsi="Times New Roman" w:cs="Times New Roman"/>
          <w:szCs w:val="24"/>
        </w:rPr>
      </w:pPr>
      <w:r>
        <w:rPr>
          <w:rFonts w:hint="eastAsia" w:ascii="宋体" w:hAnsi="Times New Roman" w:cs="Times New Roman"/>
          <w:szCs w:val="24"/>
        </w:rPr>
        <w:t>3、本合同壹式肆份，甲方执贰份，乙方执贰份，均具有同等法律效力。</w:t>
      </w:r>
    </w:p>
    <w:p w14:paraId="1F06E2EE">
      <w:pPr>
        <w:autoSpaceDE/>
        <w:autoSpaceDN/>
        <w:spacing w:line="240" w:lineRule="auto"/>
        <w:ind w:firstLine="480"/>
        <w:rPr>
          <w:rFonts w:ascii="宋体" w:hAnsi="Times New Roman" w:cs="Times New Roman"/>
          <w:szCs w:val="24"/>
        </w:rPr>
      </w:pPr>
      <w:r>
        <w:rPr>
          <w:rFonts w:hint="eastAsia" w:ascii="宋体" w:hAnsi="Times New Roman" w:cs="Times New Roman"/>
          <w:szCs w:val="24"/>
        </w:rPr>
        <w:t>4、本合同的注解、附件、补充协议是本合同的组成部分，与本合同具有同等法律效力。</w:t>
      </w:r>
    </w:p>
    <w:p w14:paraId="5B3793F3">
      <w:pPr>
        <w:autoSpaceDE/>
        <w:autoSpaceDN/>
        <w:spacing w:line="240" w:lineRule="auto"/>
        <w:ind w:firstLine="480"/>
        <w:rPr>
          <w:rFonts w:ascii="宋体" w:hAnsi="Times New Roman" w:cs="Times New Roman"/>
          <w:szCs w:val="24"/>
        </w:rPr>
      </w:pPr>
      <w:r>
        <w:rPr>
          <w:rFonts w:hint="eastAsia" w:ascii="宋体" w:hAnsi="Times New Roman" w:cs="Times New Roman"/>
          <w:szCs w:val="24"/>
        </w:rPr>
        <w:t>5、合同未尽事宜，由甲乙双方友好协商解决。</w:t>
      </w:r>
    </w:p>
    <w:p w14:paraId="6A5CFE4D">
      <w:pPr>
        <w:autoSpaceDE/>
        <w:autoSpaceDN/>
        <w:spacing w:line="240" w:lineRule="auto"/>
        <w:ind w:firstLine="480"/>
        <w:rPr>
          <w:rFonts w:ascii="宋体" w:hAnsi="Times New Roman" w:cs="Times New Roman"/>
          <w:szCs w:val="24"/>
        </w:rPr>
      </w:pPr>
      <w:r>
        <w:rPr>
          <w:rFonts w:hint="eastAsia" w:ascii="宋体" w:hAnsi="Times New Roman" w:cs="Times New Roman"/>
          <w:szCs w:val="24"/>
        </w:rPr>
        <w:t>（以下无正文）</w:t>
      </w:r>
    </w:p>
    <w:p w14:paraId="4FB102EE">
      <w:pPr>
        <w:autoSpaceDE/>
        <w:autoSpaceDN/>
        <w:spacing w:line="240" w:lineRule="auto"/>
        <w:ind w:firstLine="480"/>
        <w:rPr>
          <w:rFonts w:ascii="宋体" w:hAnsi="Times New Roman" w:cs="Times New Roman"/>
          <w:szCs w:val="24"/>
        </w:rPr>
      </w:pPr>
    </w:p>
    <w:p w14:paraId="5F3E1B82">
      <w:pPr>
        <w:autoSpaceDE/>
        <w:autoSpaceDN/>
        <w:spacing w:line="240" w:lineRule="auto"/>
        <w:ind w:firstLine="480"/>
        <w:rPr>
          <w:rFonts w:ascii="宋体" w:hAnsi="Times New Roman" w:cs="Times New Roman"/>
          <w:szCs w:val="24"/>
        </w:rPr>
      </w:pPr>
    </w:p>
    <w:p w14:paraId="7940D031">
      <w:pPr>
        <w:autoSpaceDE/>
        <w:autoSpaceDN/>
        <w:spacing w:line="240" w:lineRule="auto"/>
        <w:ind w:firstLine="480"/>
        <w:rPr>
          <w:rFonts w:ascii="宋体" w:hAnsi="Times New Roman" w:cs="Times New Roman"/>
          <w:szCs w:val="24"/>
        </w:rPr>
      </w:pPr>
    </w:p>
    <w:p w14:paraId="6DF39B7F">
      <w:pPr>
        <w:autoSpaceDE/>
        <w:autoSpaceDN/>
        <w:snapToGrid w:val="0"/>
        <w:spacing w:line="240" w:lineRule="auto"/>
        <w:ind w:firstLine="0" w:firstLineChars="0"/>
        <w:rPr>
          <w:rFonts w:ascii="宋体" w:hAnsi="Times New Roman" w:cs="Times New Roman"/>
          <w:szCs w:val="24"/>
        </w:rPr>
      </w:pPr>
      <w:r>
        <w:rPr>
          <w:rFonts w:hint="eastAsia" w:ascii="宋体" w:hAnsi="Times New Roman" w:cs="Times New Roman"/>
          <w:szCs w:val="24"/>
        </w:rPr>
        <w:t xml:space="preserve">甲方：重庆三峡银行股份有限公司          乙方：                    </w:t>
      </w:r>
    </w:p>
    <w:p w14:paraId="4F28183C">
      <w:pPr>
        <w:autoSpaceDE/>
        <w:autoSpaceDN/>
        <w:snapToGrid w:val="0"/>
        <w:spacing w:line="240" w:lineRule="auto"/>
        <w:ind w:firstLine="0" w:firstLineChars="0"/>
        <w:rPr>
          <w:rFonts w:ascii="宋体" w:hAnsi="Times New Roman" w:cs="Times New Roman"/>
          <w:szCs w:val="24"/>
        </w:rPr>
      </w:pPr>
      <w:r>
        <w:rPr>
          <w:rFonts w:hint="eastAsia" w:ascii="宋体" w:hAnsi="Times New Roman" w:cs="Times New Roman"/>
          <w:szCs w:val="24"/>
        </w:rPr>
        <w:t>（盖章）                               （盖章）</w:t>
      </w:r>
    </w:p>
    <w:p w14:paraId="0045C3D6">
      <w:pPr>
        <w:autoSpaceDE/>
        <w:autoSpaceDN/>
        <w:snapToGrid w:val="0"/>
        <w:spacing w:line="240" w:lineRule="auto"/>
        <w:ind w:firstLine="0" w:firstLineChars="0"/>
        <w:rPr>
          <w:rFonts w:ascii="宋体" w:hAnsi="Times New Roman" w:cs="Times New Roman"/>
          <w:szCs w:val="24"/>
        </w:rPr>
      </w:pPr>
      <w:r>
        <w:rPr>
          <w:rFonts w:hint="eastAsia" w:ascii="宋体" w:hAnsi="Times New Roman" w:cs="Times New Roman"/>
          <w:szCs w:val="24"/>
        </w:rPr>
        <w:t xml:space="preserve">联系方式：                   </w:t>
      </w:r>
      <w:r>
        <w:rPr>
          <w:rFonts w:ascii="宋体" w:hAnsi="Times New Roman" w:cs="Times New Roman"/>
          <w:szCs w:val="24"/>
        </w:rPr>
        <w:t xml:space="preserve">           </w:t>
      </w:r>
      <w:r>
        <w:rPr>
          <w:rFonts w:hint="eastAsia" w:ascii="宋体" w:hAnsi="Times New Roman" w:cs="Times New Roman"/>
          <w:szCs w:val="24"/>
        </w:rPr>
        <w:t xml:space="preserve">联系方式：            </w:t>
      </w:r>
    </w:p>
    <w:p w14:paraId="68B038D4">
      <w:pPr>
        <w:autoSpaceDE/>
        <w:autoSpaceDN/>
        <w:snapToGrid w:val="0"/>
        <w:spacing w:line="240" w:lineRule="auto"/>
        <w:ind w:firstLine="0" w:firstLineChars="0"/>
        <w:rPr>
          <w:rFonts w:ascii="宋体" w:hAnsi="Times New Roman" w:cs="Times New Roman"/>
          <w:szCs w:val="24"/>
        </w:rPr>
      </w:pPr>
      <w:r>
        <w:rPr>
          <w:rFonts w:hint="eastAsia" w:ascii="宋体" w:hAnsi="Times New Roman" w:cs="Times New Roman"/>
          <w:szCs w:val="24"/>
        </w:rPr>
        <w:t xml:space="preserve">通讯地址： </w:t>
      </w:r>
      <w:r>
        <w:rPr>
          <w:rFonts w:ascii="宋体" w:hAnsi="Times New Roman" w:cs="Times New Roman"/>
          <w:szCs w:val="24"/>
        </w:rPr>
        <w:t xml:space="preserve">                      </w:t>
      </w:r>
      <w:r>
        <w:rPr>
          <w:rFonts w:hint="eastAsia" w:ascii="宋体" w:hAnsi="Times New Roman" w:cs="Times New Roman"/>
          <w:szCs w:val="24"/>
        </w:rPr>
        <w:t xml:space="preserve">   </w:t>
      </w:r>
      <w:r>
        <w:rPr>
          <w:rFonts w:ascii="宋体" w:hAnsi="Times New Roman" w:cs="Times New Roman"/>
          <w:szCs w:val="24"/>
        </w:rPr>
        <w:t xml:space="preserve">  </w:t>
      </w:r>
      <w:r>
        <w:rPr>
          <w:rFonts w:hint="eastAsia" w:ascii="宋体" w:hAnsi="Times New Roman" w:cs="Times New Roman"/>
          <w:szCs w:val="24"/>
        </w:rPr>
        <w:t xml:space="preserve">  通讯地址：                             </w:t>
      </w:r>
    </w:p>
    <w:p w14:paraId="5F5E4FC0">
      <w:pPr>
        <w:autoSpaceDE/>
        <w:autoSpaceDN/>
        <w:snapToGrid w:val="0"/>
        <w:spacing w:line="240" w:lineRule="auto"/>
        <w:ind w:firstLine="0" w:firstLineChars="0"/>
        <w:rPr>
          <w:rFonts w:ascii="宋体" w:hAnsi="Times New Roman" w:cs="Times New Roman"/>
          <w:szCs w:val="24"/>
        </w:rPr>
      </w:pPr>
      <w:r>
        <w:rPr>
          <w:rFonts w:hint="eastAsia" w:ascii="宋体" w:hAnsi="Times New Roman" w:cs="Times New Roman"/>
          <w:szCs w:val="24"/>
        </w:rPr>
        <w:t xml:space="preserve">开户行：                   </w:t>
      </w:r>
      <w:r>
        <w:rPr>
          <w:rFonts w:ascii="宋体" w:hAnsi="Times New Roman" w:cs="Times New Roman"/>
          <w:szCs w:val="24"/>
        </w:rPr>
        <w:t xml:space="preserve">  </w:t>
      </w:r>
      <w:r>
        <w:rPr>
          <w:rFonts w:hint="eastAsia" w:ascii="宋体" w:hAnsi="Times New Roman" w:cs="Times New Roman"/>
          <w:szCs w:val="24"/>
        </w:rPr>
        <w:t xml:space="preserve">           开户行：</w:t>
      </w:r>
    </w:p>
    <w:p w14:paraId="7A350E66">
      <w:pPr>
        <w:autoSpaceDE/>
        <w:autoSpaceDN/>
        <w:snapToGrid w:val="0"/>
        <w:spacing w:line="240" w:lineRule="auto"/>
        <w:ind w:firstLine="0" w:firstLineChars="0"/>
        <w:rPr>
          <w:rFonts w:ascii="宋体" w:hAnsi="Times New Roman" w:cs="Times New Roman"/>
          <w:szCs w:val="24"/>
        </w:rPr>
      </w:pPr>
      <w:r>
        <w:rPr>
          <w:rFonts w:hint="eastAsia" w:ascii="宋体" w:hAnsi="Times New Roman" w:cs="Times New Roman"/>
          <w:szCs w:val="24"/>
        </w:rPr>
        <w:t xml:space="preserve">账号：                   </w:t>
      </w:r>
      <w:r>
        <w:rPr>
          <w:rFonts w:ascii="宋体" w:hAnsi="Times New Roman" w:cs="Times New Roman"/>
          <w:szCs w:val="24"/>
        </w:rPr>
        <w:t xml:space="preserve">   </w:t>
      </w:r>
      <w:r>
        <w:rPr>
          <w:rFonts w:hint="eastAsia" w:ascii="宋体" w:hAnsi="Times New Roman" w:cs="Times New Roman"/>
          <w:szCs w:val="24"/>
        </w:rPr>
        <w:t xml:space="preserve">            账号：</w:t>
      </w:r>
    </w:p>
    <w:p w14:paraId="2475594F">
      <w:pPr>
        <w:autoSpaceDE/>
        <w:autoSpaceDN/>
        <w:snapToGrid w:val="0"/>
        <w:spacing w:line="240" w:lineRule="auto"/>
        <w:ind w:firstLine="0" w:firstLineChars="0"/>
        <w:rPr>
          <w:rFonts w:ascii="宋体" w:hAnsi="Times New Roman" w:cs="Times New Roman"/>
          <w:szCs w:val="24"/>
        </w:rPr>
      </w:pPr>
    </w:p>
    <w:p w14:paraId="0D75EC69">
      <w:pPr>
        <w:autoSpaceDE/>
        <w:autoSpaceDN/>
        <w:snapToGrid w:val="0"/>
        <w:spacing w:line="240" w:lineRule="auto"/>
        <w:ind w:firstLine="0" w:firstLineChars="0"/>
        <w:rPr>
          <w:rFonts w:ascii="宋体" w:hAnsi="Times New Roman" w:cs="Times New Roman"/>
          <w:szCs w:val="24"/>
        </w:rPr>
      </w:pPr>
      <w:r>
        <w:rPr>
          <w:rFonts w:hint="eastAsia" w:ascii="宋体" w:hAnsi="Times New Roman" w:cs="Times New Roman"/>
          <w:szCs w:val="24"/>
        </w:rPr>
        <w:t xml:space="preserve">                                        日期： </w:t>
      </w:r>
    </w:p>
    <w:p w14:paraId="5EE431CF">
      <w:pPr>
        <w:autoSpaceDE/>
        <w:autoSpaceDN/>
        <w:snapToGrid w:val="0"/>
        <w:spacing w:line="240" w:lineRule="auto"/>
        <w:ind w:firstLine="0" w:firstLineChars="0"/>
        <w:rPr>
          <w:rFonts w:ascii="宋体" w:hAnsi="Times New Roman" w:cs="Times New Roman"/>
          <w:szCs w:val="24"/>
        </w:rPr>
      </w:pPr>
      <w:r>
        <w:rPr>
          <w:rFonts w:hint="eastAsia" w:ascii="宋体" w:hAnsi="Times New Roman" w:cs="Times New Roman"/>
          <w:szCs w:val="24"/>
        </w:rPr>
        <w:t>附件：</w:t>
      </w:r>
    </w:p>
    <w:p w14:paraId="2A424746">
      <w:pPr>
        <w:ind w:firstLine="480"/>
        <w:rPr>
          <w:rFonts w:hint="eastAsia"/>
        </w:rPr>
      </w:pPr>
      <w:r>
        <w:rPr>
          <w:rFonts w:hint="eastAsia"/>
        </w:rPr>
        <w:br w:type="page"/>
      </w:r>
    </w:p>
    <w:p w14:paraId="48809005">
      <w:pPr>
        <w:pStyle w:val="2"/>
      </w:pPr>
      <w:bookmarkStart w:id="92" w:name="_Toc26216"/>
      <w:bookmarkStart w:id="93" w:name="_Toc26227"/>
      <w:bookmarkStart w:id="94" w:name="_Toc26249"/>
      <w:r>
        <w:rPr>
          <w:rFonts w:hint="eastAsia"/>
        </w:rPr>
        <w:t>第六章 参选文件</w:t>
      </w:r>
      <w:bookmarkEnd w:id="75"/>
      <w:bookmarkEnd w:id="76"/>
      <w:bookmarkStart w:id="95" w:name="_Toc303066035"/>
      <w:r>
        <w:rPr>
          <w:rFonts w:hint="eastAsia"/>
        </w:rPr>
        <w:t>格式</w:t>
      </w:r>
      <w:bookmarkEnd w:id="92"/>
      <w:bookmarkEnd w:id="93"/>
      <w:bookmarkEnd w:id="94"/>
    </w:p>
    <w:bookmarkEnd w:id="95"/>
    <w:p w14:paraId="012754D5">
      <w:pPr>
        <w:tabs>
          <w:tab w:val="left" w:pos="6516"/>
        </w:tabs>
        <w:adjustRightInd w:val="0"/>
        <w:snapToGrid w:val="0"/>
        <w:spacing w:line="360" w:lineRule="auto"/>
        <w:ind w:firstLine="0" w:firstLineChars="0"/>
        <w:jc w:val="center"/>
        <w:rPr>
          <w:rFonts w:ascii="宋体" w:hAnsi="宋体"/>
          <w:b/>
          <w:kern w:val="0"/>
          <w:u w:val="single"/>
        </w:rPr>
      </w:pPr>
    </w:p>
    <w:p w14:paraId="0592D1A2">
      <w:pPr>
        <w:spacing w:line="360" w:lineRule="auto"/>
        <w:ind w:firstLine="0" w:firstLineChars="0"/>
        <w:jc w:val="center"/>
        <w:rPr>
          <w:rFonts w:ascii="Times New Roman" w:hAnsi="Times New Roman" w:cs="Times New Roman"/>
          <w:b/>
          <w:snapToGrid w:val="0"/>
          <w:kern w:val="0"/>
          <w:sz w:val="48"/>
          <w:szCs w:val="84"/>
        </w:rPr>
      </w:pPr>
      <w:r>
        <w:rPr>
          <w:rFonts w:hint="eastAsia" w:ascii="Times New Roman" w:hAnsi="Times New Roman" w:cs="Times New Roman"/>
          <w:b/>
          <w:snapToGrid w:val="0"/>
          <w:kern w:val="0"/>
          <w:sz w:val="48"/>
          <w:szCs w:val="84"/>
        </w:rPr>
        <w:t>重庆三峡银行</w:t>
      </w:r>
    </w:p>
    <w:p w14:paraId="544CA41B">
      <w:pPr>
        <w:spacing w:line="360" w:lineRule="auto"/>
        <w:ind w:firstLine="0" w:firstLineChars="0"/>
        <w:jc w:val="center"/>
        <w:rPr>
          <w:rFonts w:ascii="Times New Roman" w:hAnsi="Times New Roman" w:cs="Times New Roman"/>
          <w:b/>
          <w:snapToGrid w:val="0"/>
          <w:kern w:val="0"/>
          <w:sz w:val="48"/>
          <w:szCs w:val="84"/>
        </w:rPr>
      </w:pPr>
      <w:r>
        <w:rPr>
          <w:rFonts w:hint="eastAsia" w:ascii="Times New Roman" w:hAnsi="Times New Roman" w:cs="Times New Roman"/>
          <w:b/>
          <w:snapToGrid w:val="0"/>
          <w:kern w:val="0"/>
          <w:sz w:val="48"/>
          <w:szCs w:val="84"/>
        </w:rPr>
        <w:t>轨道交通1、3号线站台车到提醒冠名</w:t>
      </w:r>
    </w:p>
    <w:p w14:paraId="1D898A9A">
      <w:pPr>
        <w:spacing w:line="360" w:lineRule="auto"/>
        <w:ind w:firstLine="0" w:firstLineChars="0"/>
        <w:jc w:val="center"/>
        <w:rPr>
          <w:rFonts w:ascii="Times New Roman" w:hAnsi="Times New Roman" w:cs="Times New Roman"/>
          <w:b/>
          <w:snapToGrid w:val="0"/>
          <w:kern w:val="0"/>
          <w:sz w:val="48"/>
          <w:szCs w:val="84"/>
        </w:rPr>
      </w:pPr>
      <w:r>
        <w:rPr>
          <w:rFonts w:hint="eastAsia" w:ascii="Times New Roman" w:hAnsi="Times New Roman" w:cs="Times New Roman"/>
          <w:b/>
          <w:snapToGrid w:val="0"/>
          <w:kern w:val="0"/>
          <w:sz w:val="48"/>
          <w:szCs w:val="84"/>
        </w:rPr>
        <w:t>广告项目</w:t>
      </w:r>
    </w:p>
    <w:p w14:paraId="619C65E7">
      <w:pPr>
        <w:tabs>
          <w:tab w:val="left" w:pos="3600"/>
          <w:tab w:val="left" w:pos="4480"/>
          <w:tab w:val="left" w:pos="5360"/>
        </w:tabs>
        <w:adjustRightInd w:val="0"/>
        <w:snapToGrid w:val="0"/>
        <w:spacing w:line="360" w:lineRule="auto"/>
        <w:ind w:firstLine="0" w:firstLineChars="0"/>
        <w:jc w:val="center"/>
        <w:rPr>
          <w:rFonts w:ascii="宋体" w:hAnsi="宋体"/>
          <w:kern w:val="0"/>
          <w:sz w:val="44"/>
        </w:rPr>
      </w:pPr>
    </w:p>
    <w:p w14:paraId="3A1B1D2D">
      <w:pPr>
        <w:tabs>
          <w:tab w:val="left" w:pos="3600"/>
          <w:tab w:val="left" w:pos="4480"/>
          <w:tab w:val="left" w:pos="5360"/>
        </w:tabs>
        <w:adjustRightInd w:val="0"/>
        <w:snapToGrid w:val="0"/>
        <w:spacing w:line="360" w:lineRule="auto"/>
        <w:ind w:firstLine="0" w:firstLineChars="0"/>
        <w:jc w:val="center"/>
        <w:rPr>
          <w:rFonts w:ascii="宋体" w:hAnsi="宋体"/>
          <w:b/>
          <w:kern w:val="0"/>
          <w:sz w:val="84"/>
        </w:rPr>
      </w:pPr>
      <w:r>
        <w:rPr>
          <w:rFonts w:hint="eastAsia" w:ascii="宋体" w:hAnsi="宋体"/>
          <w:b/>
          <w:kern w:val="0"/>
          <w:sz w:val="84"/>
        </w:rPr>
        <w:t>参  选  文  件</w:t>
      </w:r>
    </w:p>
    <w:p w14:paraId="5C8CC3A0">
      <w:pPr>
        <w:adjustRightInd w:val="0"/>
        <w:snapToGrid w:val="0"/>
        <w:spacing w:line="360" w:lineRule="auto"/>
        <w:ind w:firstLine="0" w:firstLineChars="0"/>
        <w:jc w:val="center"/>
        <w:rPr>
          <w:rFonts w:ascii="宋体" w:hAnsi="宋体"/>
          <w:kern w:val="0"/>
          <w:sz w:val="16"/>
        </w:rPr>
      </w:pPr>
    </w:p>
    <w:p w14:paraId="6A360D09">
      <w:pPr>
        <w:adjustRightInd w:val="0"/>
        <w:snapToGrid w:val="0"/>
        <w:spacing w:line="360" w:lineRule="auto"/>
        <w:ind w:firstLine="0" w:firstLineChars="0"/>
        <w:jc w:val="center"/>
        <w:rPr>
          <w:rFonts w:ascii="宋体" w:hAnsi="宋体"/>
          <w:b/>
          <w:kern w:val="0"/>
          <w:sz w:val="20"/>
        </w:rPr>
      </w:pPr>
    </w:p>
    <w:p w14:paraId="3E56EDE7">
      <w:pPr>
        <w:adjustRightInd w:val="0"/>
        <w:snapToGrid w:val="0"/>
        <w:spacing w:line="360" w:lineRule="auto"/>
        <w:ind w:firstLine="0" w:firstLineChars="0"/>
        <w:jc w:val="center"/>
        <w:rPr>
          <w:rFonts w:ascii="宋体" w:hAnsi="宋体"/>
          <w:b/>
          <w:kern w:val="0"/>
          <w:sz w:val="20"/>
        </w:rPr>
      </w:pPr>
    </w:p>
    <w:p w14:paraId="25961E9E">
      <w:pPr>
        <w:adjustRightInd w:val="0"/>
        <w:snapToGrid w:val="0"/>
        <w:spacing w:line="360" w:lineRule="auto"/>
        <w:ind w:firstLine="0" w:firstLineChars="0"/>
        <w:jc w:val="center"/>
        <w:rPr>
          <w:rFonts w:ascii="宋体" w:hAnsi="宋体"/>
          <w:b/>
          <w:kern w:val="0"/>
          <w:sz w:val="20"/>
        </w:rPr>
      </w:pPr>
    </w:p>
    <w:p w14:paraId="658E8554">
      <w:pPr>
        <w:adjustRightInd w:val="0"/>
        <w:snapToGrid w:val="0"/>
        <w:spacing w:line="360" w:lineRule="auto"/>
        <w:ind w:firstLine="0" w:firstLineChars="0"/>
        <w:jc w:val="center"/>
        <w:rPr>
          <w:rFonts w:ascii="宋体" w:hAnsi="宋体"/>
          <w:b/>
          <w:kern w:val="0"/>
          <w:sz w:val="20"/>
        </w:rPr>
      </w:pPr>
    </w:p>
    <w:p w14:paraId="34ED5947">
      <w:pPr>
        <w:adjustRightInd w:val="0"/>
        <w:snapToGrid w:val="0"/>
        <w:spacing w:line="360" w:lineRule="auto"/>
        <w:ind w:firstLine="0" w:firstLineChars="0"/>
        <w:jc w:val="center"/>
        <w:rPr>
          <w:rFonts w:ascii="宋体" w:hAnsi="宋体"/>
          <w:b/>
          <w:kern w:val="0"/>
          <w:sz w:val="20"/>
        </w:rPr>
      </w:pPr>
    </w:p>
    <w:p w14:paraId="28D261C1">
      <w:pPr>
        <w:adjustRightInd w:val="0"/>
        <w:snapToGrid w:val="0"/>
        <w:spacing w:line="360" w:lineRule="auto"/>
        <w:ind w:firstLine="0" w:firstLineChars="0"/>
        <w:jc w:val="center"/>
        <w:rPr>
          <w:rFonts w:ascii="宋体" w:hAnsi="宋体"/>
          <w:b/>
          <w:kern w:val="0"/>
          <w:sz w:val="20"/>
        </w:rPr>
      </w:pPr>
    </w:p>
    <w:p w14:paraId="35B9430C">
      <w:pPr>
        <w:adjustRightInd w:val="0"/>
        <w:snapToGrid w:val="0"/>
        <w:spacing w:line="360" w:lineRule="auto"/>
        <w:ind w:firstLine="0" w:firstLineChars="0"/>
        <w:jc w:val="center"/>
        <w:rPr>
          <w:rFonts w:ascii="宋体" w:hAnsi="宋体"/>
          <w:b/>
          <w:kern w:val="0"/>
          <w:sz w:val="20"/>
        </w:rPr>
      </w:pPr>
    </w:p>
    <w:p w14:paraId="023251B6">
      <w:pPr>
        <w:adjustRightInd w:val="0"/>
        <w:snapToGrid w:val="0"/>
        <w:spacing w:line="360" w:lineRule="auto"/>
        <w:ind w:firstLine="0" w:firstLineChars="0"/>
        <w:jc w:val="center"/>
        <w:rPr>
          <w:rFonts w:ascii="宋体" w:hAnsi="宋体"/>
          <w:b/>
          <w:kern w:val="0"/>
          <w:sz w:val="20"/>
        </w:rPr>
      </w:pPr>
    </w:p>
    <w:p w14:paraId="78F903F4">
      <w:pPr>
        <w:adjustRightInd w:val="0"/>
        <w:snapToGrid w:val="0"/>
        <w:spacing w:line="360" w:lineRule="auto"/>
        <w:ind w:firstLine="0" w:firstLineChars="0"/>
        <w:jc w:val="center"/>
        <w:rPr>
          <w:rFonts w:ascii="宋体" w:hAnsi="宋体"/>
          <w:b/>
          <w:kern w:val="0"/>
          <w:sz w:val="20"/>
        </w:rPr>
      </w:pPr>
    </w:p>
    <w:p w14:paraId="42CEB7A9">
      <w:pPr>
        <w:spacing w:line="360" w:lineRule="auto"/>
        <w:ind w:firstLine="0" w:firstLineChars="0"/>
        <w:jc w:val="center"/>
        <w:rPr>
          <w:rFonts w:hint="eastAsia"/>
        </w:rPr>
      </w:pPr>
      <w:r>
        <w:rPr>
          <w:rFonts w:hint="eastAsia"/>
        </w:rPr>
        <w:t>参选人：</w:t>
      </w:r>
      <w:r>
        <w:rPr>
          <w:rFonts w:hint="eastAsia"/>
          <w:u w:val="single"/>
        </w:rPr>
        <w:t xml:space="preserve">                </w:t>
      </w:r>
      <w:r>
        <w:rPr>
          <w:rFonts w:hint="eastAsia"/>
        </w:rPr>
        <w:t>（盖单位公章）</w:t>
      </w:r>
    </w:p>
    <w:p w14:paraId="2F4357FA">
      <w:pPr>
        <w:spacing w:line="360" w:lineRule="auto"/>
        <w:ind w:firstLine="0" w:firstLineChars="0"/>
        <w:jc w:val="center"/>
        <w:rPr>
          <w:rFonts w:hint="eastAsia"/>
        </w:rPr>
      </w:pPr>
      <w:r>
        <w:rPr>
          <w:rFonts w:hint="eastAsia" w:ascii="宋体"/>
          <w:snapToGrid w:val="0"/>
          <w:kern w:val="0"/>
        </w:rPr>
        <w:t>法定代表人</w:t>
      </w:r>
      <w:r>
        <w:rPr>
          <w:rFonts w:hint="eastAsia"/>
        </w:rPr>
        <w:t>/委托代理人：</w:t>
      </w:r>
      <w:r>
        <w:rPr>
          <w:rFonts w:hint="eastAsia"/>
          <w:u w:val="single"/>
        </w:rPr>
        <w:t xml:space="preserve">              </w:t>
      </w:r>
      <w:r>
        <w:rPr>
          <w:rFonts w:hint="eastAsia"/>
        </w:rPr>
        <w:t>（签字或盖章）</w:t>
      </w:r>
    </w:p>
    <w:p w14:paraId="44F82C45">
      <w:pPr>
        <w:spacing w:line="360" w:lineRule="auto"/>
        <w:ind w:firstLine="0" w:firstLineChars="0"/>
        <w:jc w:val="center"/>
        <w:rPr>
          <w:rFonts w:hint="eastAsia"/>
        </w:rPr>
      </w:pPr>
      <w:r>
        <w:rPr>
          <w:rFonts w:hint="eastAsia"/>
        </w:rPr>
        <w:t>年     月     日</w:t>
      </w:r>
    </w:p>
    <w:p w14:paraId="2A8DCE19">
      <w:pPr>
        <w:tabs>
          <w:tab w:val="left" w:pos="3280"/>
          <w:tab w:val="left" w:pos="4680"/>
          <w:tab w:val="left" w:pos="6080"/>
        </w:tabs>
        <w:adjustRightInd w:val="0"/>
        <w:snapToGrid w:val="0"/>
        <w:spacing w:line="360" w:lineRule="auto"/>
        <w:ind w:firstLine="0" w:firstLineChars="0"/>
        <w:jc w:val="center"/>
        <w:rPr>
          <w:rFonts w:ascii="宋体" w:hAnsi="宋体"/>
          <w:b/>
          <w:kern w:val="0"/>
        </w:rPr>
      </w:pPr>
    </w:p>
    <w:p w14:paraId="4E75B16E">
      <w:pPr>
        <w:tabs>
          <w:tab w:val="left" w:pos="6300"/>
        </w:tabs>
        <w:snapToGrid w:val="0"/>
        <w:spacing w:line="360" w:lineRule="auto"/>
        <w:ind w:firstLine="0" w:firstLineChars="0"/>
        <w:jc w:val="center"/>
        <w:rPr>
          <w:rFonts w:ascii="宋体" w:hAnsi="宋体"/>
          <w:snapToGrid w:val="0"/>
          <w:kern w:val="0"/>
          <w:szCs w:val="28"/>
        </w:rPr>
      </w:pPr>
    </w:p>
    <w:p w14:paraId="3D1B5C68">
      <w:pPr>
        <w:tabs>
          <w:tab w:val="left" w:pos="6300"/>
        </w:tabs>
        <w:snapToGrid w:val="0"/>
        <w:spacing w:line="360" w:lineRule="auto"/>
        <w:ind w:firstLine="0" w:firstLineChars="0"/>
        <w:jc w:val="center"/>
        <w:rPr>
          <w:rFonts w:ascii="宋体" w:hAnsi="宋体"/>
          <w:snapToGrid w:val="0"/>
          <w:kern w:val="0"/>
          <w:szCs w:val="28"/>
        </w:rPr>
      </w:pPr>
    </w:p>
    <w:p w14:paraId="73A59ABD">
      <w:pPr>
        <w:tabs>
          <w:tab w:val="left" w:pos="6300"/>
        </w:tabs>
        <w:snapToGrid w:val="0"/>
        <w:spacing w:line="360" w:lineRule="auto"/>
        <w:ind w:firstLine="0" w:firstLineChars="0"/>
        <w:jc w:val="center"/>
        <w:rPr>
          <w:rFonts w:ascii="宋体" w:hAnsi="宋体"/>
          <w:snapToGrid w:val="0"/>
          <w:kern w:val="0"/>
          <w:szCs w:val="28"/>
        </w:rPr>
        <w:sectPr>
          <w:footerReference r:id="rId7" w:type="default"/>
          <w:pgSz w:w="11906" w:h="16838"/>
          <w:pgMar w:top="1440" w:right="1800" w:bottom="1440" w:left="1800" w:header="851" w:footer="992" w:gutter="0"/>
          <w:pgNumType w:fmt="decimal" w:start="1"/>
          <w:cols w:space="720" w:num="1"/>
          <w:docGrid w:type="lines" w:linePitch="312" w:charSpace="0"/>
        </w:sectPr>
      </w:pPr>
    </w:p>
    <w:p w14:paraId="37E32125">
      <w:pPr>
        <w:tabs>
          <w:tab w:val="left" w:pos="6300"/>
        </w:tabs>
        <w:snapToGrid w:val="0"/>
        <w:spacing w:line="360" w:lineRule="auto"/>
        <w:ind w:firstLine="0" w:firstLineChars="0"/>
        <w:jc w:val="center"/>
        <w:outlineLvl w:val="1"/>
        <w:rPr>
          <w:rFonts w:hint="eastAsia" w:ascii="宋体"/>
          <w:b/>
          <w:snapToGrid w:val="0"/>
          <w:kern w:val="0"/>
          <w:sz w:val="36"/>
          <w:szCs w:val="28"/>
        </w:rPr>
      </w:pPr>
      <w:r>
        <w:rPr>
          <w:rFonts w:hint="eastAsia" w:ascii="宋体"/>
          <w:b/>
          <w:snapToGrid w:val="0"/>
          <w:kern w:val="0"/>
          <w:sz w:val="36"/>
          <w:szCs w:val="28"/>
        </w:rPr>
        <w:t>目  录</w:t>
      </w:r>
    </w:p>
    <w:p w14:paraId="2E2AA10B">
      <w:pPr>
        <w:ind w:firstLine="480"/>
        <w:rPr>
          <w:rFonts w:hint="eastAsia"/>
        </w:rPr>
      </w:pPr>
      <w:r>
        <w:rPr>
          <w:rFonts w:hint="eastAsia"/>
        </w:rPr>
        <w:t>一、参选函</w:t>
      </w:r>
    </w:p>
    <w:p w14:paraId="2B534164">
      <w:pPr>
        <w:ind w:firstLine="480"/>
        <w:rPr>
          <w:rFonts w:hint="eastAsia"/>
        </w:rPr>
      </w:pPr>
      <w:r>
        <w:rPr>
          <w:rFonts w:hint="eastAsia"/>
        </w:rPr>
        <w:t>二、报价一览表</w:t>
      </w:r>
    </w:p>
    <w:p w14:paraId="6F635529">
      <w:pPr>
        <w:ind w:firstLine="480"/>
        <w:rPr>
          <w:rFonts w:hint="eastAsia"/>
        </w:rPr>
      </w:pPr>
      <w:r>
        <w:rPr>
          <w:rFonts w:hint="eastAsia"/>
        </w:rPr>
        <w:t>三、资格性文件</w:t>
      </w:r>
    </w:p>
    <w:p w14:paraId="17896B2A">
      <w:pPr>
        <w:ind w:firstLine="897" w:firstLineChars="374"/>
        <w:rPr>
          <w:rFonts w:hint="eastAsia"/>
        </w:rPr>
      </w:pPr>
      <w:r>
        <w:rPr>
          <w:rFonts w:hint="eastAsia"/>
        </w:rPr>
        <w:t>（一）参选人基本情况介绍，资质证明等</w:t>
      </w:r>
    </w:p>
    <w:p w14:paraId="351DA0CC">
      <w:pPr>
        <w:ind w:firstLine="897" w:firstLineChars="374"/>
        <w:rPr>
          <w:rFonts w:hint="eastAsia"/>
        </w:rPr>
      </w:pPr>
      <w:r>
        <w:rPr>
          <w:rFonts w:hint="eastAsia"/>
        </w:rPr>
        <w:t>（二）法定代表人身份证明及授权委托书</w:t>
      </w:r>
    </w:p>
    <w:p w14:paraId="1333FB08">
      <w:pPr>
        <w:ind w:firstLine="897" w:firstLineChars="374"/>
        <w:rPr>
          <w:rFonts w:hint="eastAsia"/>
        </w:rPr>
      </w:pPr>
      <w:r>
        <w:rPr>
          <w:rFonts w:hint="eastAsia"/>
        </w:rPr>
        <w:t>（三）书面声明</w:t>
      </w:r>
    </w:p>
    <w:p w14:paraId="5053E826">
      <w:pPr>
        <w:ind w:firstLine="897" w:firstLineChars="374"/>
        <w:rPr>
          <w:rFonts w:hint="eastAsia"/>
        </w:rPr>
      </w:pPr>
      <w:r>
        <w:rPr>
          <w:rFonts w:hint="eastAsia"/>
        </w:rPr>
        <w:t>（四）中国执行信息公开网截图</w:t>
      </w:r>
    </w:p>
    <w:p w14:paraId="22230830">
      <w:pPr>
        <w:ind w:firstLine="897" w:firstLineChars="374"/>
        <w:rPr>
          <w:rFonts w:hint="eastAsia"/>
        </w:rPr>
      </w:pPr>
      <w:r>
        <w:rPr>
          <w:rFonts w:hint="eastAsia"/>
        </w:rPr>
        <w:t>（五）广告牌经营权证明</w:t>
      </w:r>
    </w:p>
    <w:p w14:paraId="3C9220C2">
      <w:pPr>
        <w:ind w:firstLine="897" w:firstLineChars="374"/>
        <w:rPr>
          <w:rFonts w:hint="eastAsia"/>
        </w:rPr>
      </w:pPr>
      <w:r>
        <w:rPr>
          <w:rFonts w:hint="eastAsia"/>
        </w:rPr>
        <w:t>（六）其他（如有）</w:t>
      </w:r>
    </w:p>
    <w:p w14:paraId="288E9954">
      <w:pPr>
        <w:ind w:firstLine="480"/>
        <w:rPr>
          <w:rFonts w:hint="eastAsia"/>
        </w:rPr>
      </w:pPr>
      <w:r>
        <w:rPr>
          <w:rFonts w:hint="eastAsia"/>
        </w:rPr>
        <w:t>四、响应性文件</w:t>
      </w:r>
    </w:p>
    <w:p w14:paraId="7E459AD9">
      <w:pPr>
        <w:ind w:firstLine="897" w:firstLineChars="374"/>
        <w:rPr>
          <w:rFonts w:hint="eastAsia"/>
        </w:rPr>
      </w:pPr>
      <w:r>
        <w:rPr>
          <w:rFonts w:hint="eastAsia"/>
        </w:rPr>
        <w:t>（一）响应承诺函</w:t>
      </w:r>
    </w:p>
    <w:p w14:paraId="4F3A0946">
      <w:pPr>
        <w:ind w:firstLine="897" w:firstLineChars="374"/>
        <w:rPr>
          <w:rFonts w:hint="eastAsia"/>
        </w:rPr>
      </w:pPr>
      <w:r>
        <w:rPr>
          <w:rFonts w:hint="eastAsia"/>
        </w:rPr>
        <w:t>（二）参选保证金</w:t>
      </w:r>
    </w:p>
    <w:p w14:paraId="6E9935A5">
      <w:pPr>
        <w:ind w:firstLine="897" w:firstLineChars="374"/>
        <w:rPr>
          <w:rFonts w:hint="eastAsia"/>
        </w:rPr>
      </w:pPr>
      <w:r>
        <w:rPr>
          <w:rFonts w:hint="eastAsia"/>
        </w:rPr>
        <w:t>（三）服务承诺函</w:t>
      </w:r>
    </w:p>
    <w:p w14:paraId="69B5D2C6">
      <w:pPr>
        <w:ind w:firstLine="897" w:firstLineChars="374"/>
        <w:rPr>
          <w:rFonts w:hint="eastAsia"/>
        </w:rPr>
      </w:pPr>
      <w:r>
        <w:rPr>
          <w:rFonts w:hint="eastAsia"/>
        </w:rPr>
        <w:t>（四）其他（如有）</w:t>
      </w:r>
    </w:p>
    <w:p w14:paraId="51418BF1">
      <w:pPr>
        <w:ind w:firstLine="480"/>
        <w:rPr>
          <w:rFonts w:hint="eastAsia"/>
        </w:rPr>
      </w:pPr>
      <w:r>
        <w:rPr>
          <w:rFonts w:hint="eastAsia"/>
        </w:rPr>
        <w:t>五、其他（如有）</w:t>
      </w:r>
    </w:p>
    <w:p w14:paraId="56C8DEEA">
      <w:pPr>
        <w:spacing w:line="360" w:lineRule="auto"/>
        <w:ind w:firstLine="480"/>
        <w:rPr>
          <w:rFonts w:ascii="宋体" w:hAnsi="宋体" w:cs="宋体"/>
        </w:rPr>
      </w:pPr>
    </w:p>
    <w:p w14:paraId="0761F85F">
      <w:pPr>
        <w:spacing w:line="360" w:lineRule="auto"/>
        <w:ind w:firstLine="480"/>
        <w:rPr>
          <w:rFonts w:ascii="宋体" w:hAnsi="宋体" w:cs="宋体"/>
        </w:rPr>
      </w:pPr>
    </w:p>
    <w:p w14:paraId="391148CB">
      <w:pPr>
        <w:spacing w:line="360" w:lineRule="auto"/>
        <w:ind w:firstLine="0" w:firstLineChars="0"/>
        <w:jc w:val="center"/>
        <w:outlineLvl w:val="1"/>
        <w:rPr>
          <w:rStyle w:val="25"/>
          <w:rFonts w:hint="eastAsia"/>
        </w:rPr>
      </w:pPr>
      <w:r>
        <w:rPr>
          <w:rFonts w:hint="eastAsia" w:ascii="宋体" w:hAnsi="宋体" w:cs="宋体"/>
        </w:rPr>
        <w:br w:type="page"/>
      </w:r>
      <w:r>
        <w:rPr>
          <w:rStyle w:val="25"/>
          <w:rFonts w:hint="eastAsia"/>
        </w:rPr>
        <w:t>一、参选函</w:t>
      </w:r>
    </w:p>
    <w:p w14:paraId="001678F6">
      <w:pPr>
        <w:tabs>
          <w:tab w:val="left" w:pos="6300"/>
        </w:tabs>
        <w:snapToGrid w:val="0"/>
        <w:spacing w:line="360" w:lineRule="auto"/>
        <w:ind w:right="-34" w:rightChars="-14" w:firstLine="480"/>
        <w:rPr>
          <w:rFonts w:hint="eastAsia" w:ascii="宋体"/>
          <w:snapToGrid w:val="0"/>
          <w:kern w:val="0"/>
          <w:szCs w:val="24"/>
          <w:u w:val="single"/>
        </w:rPr>
      </w:pPr>
    </w:p>
    <w:p w14:paraId="04D59F40">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u w:val="single"/>
        </w:rPr>
        <w:t>重庆三峡银行股份有限公司</w:t>
      </w:r>
      <w:r>
        <w:rPr>
          <w:rFonts w:hint="eastAsia" w:ascii="宋体"/>
          <w:snapToGrid w:val="0"/>
          <w:kern w:val="0"/>
          <w:szCs w:val="24"/>
        </w:rPr>
        <w:t>：</w:t>
      </w:r>
    </w:p>
    <w:p w14:paraId="10493BAF">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我方收到___________________比选文件，经详细研究，决定参加该比选项目的</w:t>
      </w:r>
      <w:r>
        <w:rPr>
          <w:rFonts w:hint="eastAsia" w:ascii="宋体" w:cs="Cambria"/>
          <w:snapToGrid w:val="0"/>
          <w:kern w:val="0"/>
          <w:szCs w:val="24"/>
        </w:rPr>
        <w:t>参选</w:t>
      </w:r>
      <w:r>
        <w:rPr>
          <w:rFonts w:hint="eastAsia" w:ascii="宋体"/>
          <w:snapToGrid w:val="0"/>
          <w:kern w:val="0"/>
          <w:szCs w:val="24"/>
        </w:rPr>
        <w:t>。</w:t>
      </w:r>
    </w:p>
    <w:p w14:paraId="2515FB53">
      <w:pPr>
        <w:tabs>
          <w:tab w:val="left" w:pos="6300"/>
        </w:tabs>
        <w:snapToGrid w:val="0"/>
        <w:spacing w:line="360" w:lineRule="auto"/>
        <w:ind w:right="-34" w:rightChars="-14" w:firstLine="573" w:firstLineChars="0"/>
        <w:rPr>
          <w:rFonts w:hint="eastAsia" w:ascii="宋体"/>
          <w:snapToGrid w:val="0"/>
          <w:kern w:val="0"/>
          <w:szCs w:val="24"/>
          <w:u w:val="single"/>
        </w:rPr>
      </w:pPr>
      <w:r>
        <w:rPr>
          <w:rFonts w:hint="eastAsia" w:ascii="宋体"/>
          <w:snapToGrid w:val="0"/>
          <w:kern w:val="0"/>
          <w:szCs w:val="24"/>
        </w:rPr>
        <w:t>1、愿意按照比选文件中的一切要求，以报价一览表的</w:t>
      </w:r>
      <w:r>
        <w:rPr>
          <w:rFonts w:hint="eastAsia" w:ascii="宋体" w:cs="Cambria"/>
          <w:snapToGrid w:val="0"/>
          <w:kern w:val="0"/>
          <w:szCs w:val="24"/>
        </w:rPr>
        <w:t>参选</w:t>
      </w:r>
      <w:r>
        <w:rPr>
          <w:rFonts w:hint="eastAsia" w:ascii="宋体"/>
          <w:snapToGrid w:val="0"/>
          <w:kern w:val="0"/>
          <w:szCs w:val="24"/>
        </w:rPr>
        <w:t>报价（</w:t>
      </w:r>
      <w:r>
        <w:rPr>
          <w:rFonts w:hint="eastAsia" w:ascii="宋体"/>
          <w:snapToGrid w:val="0"/>
          <w:kern w:val="0"/>
          <w:szCs w:val="24"/>
          <w:lang w:val="en-US" w:eastAsia="zh-CN"/>
        </w:rPr>
        <w:t>不</w:t>
      </w:r>
      <w:r>
        <w:rPr>
          <w:rFonts w:hint="eastAsia" w:ascii="宋体"/>
          <w:snapToGrid w:val="0"/>
          <w:kern w:val="0"/>
          <w:szCs w:val="24"/>
        </w:rPr>
        <w:t>含税）承担和完成本项目。</w:t>
      </w:r>
    </w:p>
    <w:p w14:paraId="0F41177D">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2、我方现提交的</w:t>
      </w:r>
      <w:r>
        <w:rPr>
          <w:rFonts w:hint="eastAsia" w:ascii="宋体" w:cs="Cambria"/>
          <w:snapToGrid w:val="0"/>
          <w:kern w:val="0"/>
          <w:szCs w:val="24"/>
        </w:rPr>
        <w:t>参选</w:t>
      </w:r>
      <w:r>
        <w:rPr>
          <w:rFonts w:hint="eastAsia" w:ascii="宋体"/>
          <w:snapToGrid w:val="0"/>
          <w:kern w:val="0"/>
          <w:szCs w:val="24"/>
        </w:rPr>
        <w:t>文件为：</w:t>
      </w:r>
      <w:r>
        <w:rPr>
          <w:rFonts w:hint="eastAsia" w:ascii="宋体" w:cs="Cambria"/>
          <w:snapToGrid w:val="0"/>
          <w:kern w:val="0"/>
          <w:szCs w:val="24"/>
        </w:rPr>
        <w:t>参选</w:t>
      </w:r>
      <w:r>
        <w:rPr>
          <w:rFonts w:hint="eastAsia" w:ascii="宋体"/>
          <w:snapToGrid w:val="0"/>
          <w:kern w:val="0"/>
          <w:szCs w:val="24"/>
        </w:rPr>
        <w:t>文件正本一份，副本一份，电子文件一份。</w:t>
      </w:r>
    </w:p>
    <w:p w14:paraId="59DB8D5D">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3、如果我方</w:t>
      </w:r>
      <w:r>
        <w:rPr>
          <w:rFonts w:hint="eastAsia" w:ascii="宋体" w:cs="Cambria"/>
          <w:snapToGrid w:val="0"/>
          <w:kern w:val="0"/>
          <w:szCs w:val="24"/>
        </w:rPr>
        <w:t>参选</w:t>
      </w:r>
      <w:r>
        <w:rPr>
          <w:rFonts w:hint="eastAsia" w:ascii="宋体"/>
          <w:snapToGrid w:val="0"/>
          <w:kern w:val="0"/>
          <w:szCs w:val="24"/>
        </w:rPr>
        <w:t>文件被接受，我方将履行比选文件中规定的各项要求，按相关法律法规和合同约定条款承担我方的责任。</w:t>
      </w:r>
    </w:p>
    <w:p w14:paraId="7220F0D3">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4、我方愿意提供比选文件中要求的所有资料，并对其真实性负责。</w:t>
      </w:r>
    </w:p>
    <w:p w14:paraId="1893D67B">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5、我方理解最低价格不是中选的唯一条件。</w:t>
      </w:r>
    </w:p>
    <w:p w14:paraId="28340169">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6、</w:t>
      </w:r>
      <w:r>
        <w:rPr>
          <w:rFonts w:hint="eastAsia" w:ascii="宋体" w:cs="Cambria"/>
          <w:snapToGrid w:val="0"/>
          <w:kern w:val="0"/>
          <w:szCs w:val="24"/>
        </w:rPr>
        <w:t>参选</w:t>
      </w:r>
      <w:r>
        <w:rPr>
          <w:rFonts w:hint="eastAsia" w:ascii="宋体"/>
          <w:snapToGrid w:val="0"/>
          <w:kern w:val="0"/>
          <w:szCs w:val="24"/>
        </w:rPr>
        <w:t>有效期为</w:t>
      </w:r>
      <w:r>
        <w:rPr>
          <w:rFonts w:hint="eastAsia" w:ascii="宋体" w:cs="Cambria"/>
          <w:snapToGrid w:val="0"/>
          <w:kern w:val="0"/>
          <w:szCs w:val="24"/>
        </w:rPr>
        <w:t>参选</w:t>
      </w:r>
      <w:r>
        <w:rPr>
          <w:rFonts w:hint="eastAsia" w:ascii="宋体"/>
          <w:snapToGrid w:val="0"/>
          <w:kern w:val="0"/>
          <w:szCs w:val="24"/>
        </w:rPr>
        <w:t>截止日期后90天内。</w:t>
      </w:r>
    </w:p>
    <w:p w14:paraId="1B44477D">
      <w:pPr>
        <w:tabs>
          <w:tab w:val="left" w:pos="6300"/>
        </w:tabs>
        <w:snapToGrid w:val="0"/>
        <w:spacing w:line="360" w:lineRule="auto"/>
        <w:ind w:right="-34" w:rightChars="-14" w:firstLine="573" w:firstLineChars="0"/>
        <w:rPr>
          <w:rFonts w:hint="eastAsia" w:ascii="宋体"/>
          <w:snapToGrid w:val="0"/>
          <w:kern w:val="0"/>
          <w:szCs w:val="24"/>
        </w:rPr>
      </w:pPr>
      <w:r>
        <w:rPr>
          <w:rFonts w:hint="eastAsia" w:ascii="宋体"/>
          <w:snapToGrid w:val="0"/>
          <w:kern w:val="0"/>
          <w:szCs w:val="24"/>
        </w:rPr>
        <w:t>7、若我方中选，我方开具税率为______%的增值税专用发票；</w:t>
      </w:r>
    </w:p>
    <w:p w14:paraId="18E5709D">
      <w:pPr>
        <w:tabs>
          <w:tab w:val="left" w:pos="6300"/>
        </w:tabs>
        <w:snapToGrid w:val="0"/>
        <w:spacing w:line="360" w:lineRule="auto"/>
        <w:ind w:right="-34" w:rightChars="-14" w:firstLine="480"/>
        <w:rPr>
          <w:rFonts w:hint="eastAsia" w:ascii="宋体"/>
          <w:snapToGrid w:val="0"/>
          <w:kern w:val="0"/>
          <w:szCs w:val="24"/>
        </w:rPr>
      </w:pPr>
    </w:p>
    <w:p w14:paraId="48600B86">
      <w:pPr>
        <w:tabs>
          <w:tab w:val="left" w:pos="6300"/>
        </w:tabs>
        <w:snapToGrid w:val="0"/>
        <w:spacing w:line="360" w:lineRule="auto"/>
        <w:ind w:right="-34" w:rightChars="-14" w:firstLine="480"/>
        <w:rPr>
          <w:rFonts w:hint="eastAsia" w:ascii="宋体"/>
          <w:snapToGrid w:val="0"/>
          <w:kern w:val="0"/>
          <w:szCs w:val="24"/>
        </w:rPr>
      </w:pPr>
      <w:r>
        <w:rPr>
          <w:rFonts w:hint="eastAsia" w:ascii="宋体" w:cs="Cambria"/>
          <w:snapToGrid w:val="0"/>
          <w:kern w:val="0"/>
          <w:szCs w:val="24"/>
        </w:rPr>
        <w:t>参选</w:t>
      </w:r>
      <w:r>
        <w:rPr>
          <w:rFonts w:hint="eastAsia" w:ascii="宋体"/>
          <w:snapToGrid w:val="0"/>
          <w:kern w:val="0"/>
          <w:szCs w:val="24"/>
        </w:rPr>
        <w:t>人（公章）：</w:t>
      </w:r>
    </w:p>
    <w:p w14:paraId="018F2307">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 xml:space="preserve">地址：  </w:t>
      </w:r>
    </w:p>
    <w:p w14:paraId="4805FCA0">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电话：                           传真：</w:t>
      </w:r>
    </w:p>
    <w:p w14:paraId="6E2BC8AB">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 xml:space="preserve">网址：                         </w:t>
      </w:r>
    </w:p>
    <w:p w14:paraId="030FF0F1">
      <w:pPr>
        <w:tabs>
          <w:tab w:val="left" w:pos="6300"/>
        </w:tabs>
        <w:snapToGrid w:val="0"/>
        <w:spacing w:line="360" w:lineRule="auto"/>
        <w:ind w:right="-34" w:rightChars="-14" w:firstLine="6540" w:firstLineChars="2725"/>
        <w:rPr>
          <w:rFonts w:hint="eastAsia" w:ascii="宋体"/>
          <w:snapToGrid w:val="0"/>
          <w:kern w:val="0"/>
          <w:szCs w:val="24"/>
        </w:rPr>
      </w:pPr>
    </w:p>
    <w:p w14:paraId="7A0D51E4">
      <w:pPr>
        <w:tabs>
          <w:tab w:val="left" w:pos="6300"/>
        </w:tabs>
        <w:snapToGrid w:val="0"/>
        <w:spacing w:line="360" w:lineRule="auto"/>
        <w:ind w:right="-34" w:rightChars="-14" w:firstLine="5400" w:firstLineChars="2250"/>
        <w:rPr>
          <w:rFonts w:hint="eastAsia" w:ascii="宋体"/>
          <w:snapToGrid w:val="0"/>
          <w:kern w:val="0"/>
          <w:szCs w:val="24"/>
        </w:rPr>
      </w:pPr>
      <w:r>
        <w:rPr>
          <w:rFonts w:hint="eastAsia" w:ascii="宋体"/>
          <w:snapToGrid w:val="0"/>
          <w:kern w:val="0"/>
          <w:szCs w:val="24"/>
        </w:rPr>
        <w:t>年     月     日</w:t>
      </w:r>
    </w:p>
    <w:p w14:paraId="171E1820">
      <w:pPr>
        <w:widowControl/>
        <w:spacing w:line="360" w:lineRule="auto"/>
        <w:ind w:firstLine="480"/>
        <w:jc w:val="left"/>
        <w:rPr>
          <w:rFonts w:hint="eastAsia" w:ascii="宋体"/>
          <w:snapToGrid w:val="0"/>
          <w:kern w:val="0"/>
          <w:szCs w:val="24"/>
        </w:rPr>
      </w:pPr>
    </w:p>
    <w:p w14:paraId="35D039DC">
      <w:pPr>
        <w:tabs>
          <w:tab w:val="left" w:pos="6300"/>
        </w:tabs>
        <w:snapToGrid w:val="0"/>
        <w:spacing w:line="360" w:lineRule="auto"/>
        <w:ind w:firstLine="480"/>
        <w:rPr>
          <w:rFonts w:hint="eastAsia" w:ascii="宋体"/>
          <w:snapToGrid w:val="0"/>
          <w:kern w:val="0"/>
          <w:szCs w:val="24"/>
        </w:rPr>
      </w:pPr>
    </w:p>
    <w:p w14:paraId="4D4FFAA0">
      <w:pPr>
        <w:widowControl/>
        <w:spacing w:line="360" w:lineRule="auto"/>
        <w:ind w:firstLine="480"/>
        <w:jc w:val="left"/>
        <w:rPr>
          <w:rFonts w:hint="eastAsia" w:ascii="宋体"/>
          <w:snapToGrid w:val="0"/>
          <w:kern w:val="0"/>
          <w:szCs w:val="24"/>
        </w:rPr>
      </w:pPr>
    </w:p>
    <w:p w14:paraId="62C85952">
      <w:pPr>
        <w:widowControl/>
        <w:spacing w:line="360" w:lineRule="auto"/>
        <w:ind w:firstLine="480"/>
        <w:jc w:val="left"/>
        <w:rPr>
          <w:rFonts w:hint="eastAsia" w:ascii="宋体"/>
          <w:snapToGrid w:val="0"/>
          <w:kern w:val="0"/>
          <w:szCs w:val="24"/>
        </w:rPr>
      </w:pPr>
    </w:p>
    <w:p w14:paraId="2DB4F069">
      <w:pPr>
        <w:widowControl/>
        <w:spacing w:line="360" w:lineRule="auto"/>
        <w:ind w:firstLine="480"/>
        <w:jc w:val="left"/>
        <w:rPr>
          <w:rFonts w:hint="eastAsia" w:ascii="宋体"/>
          <w:snapToGrid w:val="0"/>
          <w:kern w:val="0"/>
          <w:szCs w:val="24"/>
        </w:rPr>
      </w:pPr>
    </w:p>
    <w:p w14:paraId="41810F87">
      <w:pPr>
        <w:widowControl/>
        <w:spacing w:line="360" w:lineRule="auto"/>
        <w:ind w:firstLine="480"/>
        <w:jc w:val="left"/>
        <w:rPr>
          <w:rFonts w:hint="eastAsia" w:ascii="宋体"/>
          <w:snapToGrid w:val="0"/>
          <w:kern w:val="0"/>
          <w:szCs w:val="24"/>
        </w:rPr>
      </w:pPr>
    </w:p>
    <w:p w14:paraId="62259EF9">
      <w:pPr>
        <w:snapToGrid w:val="0"/>
        <w:spacing w:line="360" w:lineRule="auto"/>
        <w:ind w:firstLine="480"/>
        <w:rPr>
          <w:rFonts w:hint="eastAsia" w:ascii="宋体"/>
          <w:snapToGrid w:val="0"/>
          <w:kern w:val="0"/>
          <w:szCs w:val="24"/>
        </w:rPr>
      </w:pPr>
      <w:r>
        <w:rPr>
          <w:rFonts w:hint="eastAsia"/>
          <w:kern w:val="0"/>
        </w:rPr>
        <w:br w:type="page"/>
      </w:r>
    </w:p>
    <w:p w14:paraId="545067F2">
      <w:pPr>
        <w:pStyle w:val="26"/>
        <w:ind w:firstLine="480"/>
      </w:pPr>
      <w:r>
        <w:t>二、报价一览表</w:t>
      </w:r>
    </w:p>
    <w:tbl>
      <w:tblPr>
        <w:tblStyle w:val="15"/>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2"/>
        <w:gridCol w:w="5661"/>
      </w:tblGrid>
      <w:tr w14:paraId="0EFE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2" w:hRule="atLeast"/>
          <w:jc w:val="center"/>
        </w:trPr>
        <w:tc>
          <w:tcPr>
            <w:tcW w:w="2952" w:type="dxa"/>
            <w:tcBorders>
              <w:top w:val="single" w:color="auto" w:sz="4" w:space="0"/>
              <w:left w:val="single" w:color="auto" w:sz="4" w:space="0"/>
              <w:bottom w:val="single" w:color="auto" w:sz="4" w:space="0"/>
              <w:right w:val="single" w:color="auto" w:sz="4" w:space="0"/>
            </w:tcBorders>
            <w:vAlign w:val="center"/>
          </w:tcPr>
          <w:p w14:paraId="2E2E4356">
            <w:pPr>
              <w:autoSpaceDE/>
              <w:autoSpaceDN/>
              <w:spacing w:line="360" w:lineRule="auto"/>
              <w:ind w:firstLine="0" w:firstLineChars="0"/>
              <w:jc w:val="center"/>
              <w:rPr>
                <w:rFonts w:ascii="宋体" w:hAnsi="宋体"/>
                <w:snapToGrid w:val="0"/>
                <w:kern w:val="0"/>
                <w:sz w:val="21"/>
                <w:szCs w:val="21"/>
              </w:rPr>
            </w:pPr>
            <w:r>
              <w:rPr>
                <w:rFonts w:hint="eastAsia" w:ascii="宋体" w:hAnsi="宋体" w:cs="Cambria"/>
                <w:snapToGrid w:val="0"/>
                <w:kern w:val="0"/>
                <w:sz w:val="21"/>
                <w:szCs w:val="21"/>
              </w:rPr>
              <w:t>参选</w:t>
            </w:r>
            <w:r>
              <w:rPr>
                <w:rFonts w:hint="eastAsia" w:ascii="宋体" w:hAnsi="宋体"/>
                <w:snapToGrid w:val="0"/>
                <w:kern w:val="0"/>
                <w:sz w:val="21"/>
                <w:szCs w:val="21"/>
              </w:rPr>
              <w:t>人全称</w:t>
            </w:r>
          </w:p>
        </w:tc>
        <w:tc>
          <w:tcPr>
            <w:tcW w:w="5661" w:type="dxa"/>
            <w:tcBorders>
              <w:top w:val="single" w:color="auto" w:sz="4" w:space="0"/>
              <w:left w:val="single" w:color="auto" w:sz="4" w:space="0"/>
              <w:bottom w:val="single" w:color="auto" w:sz="4" w:space="0"/>
              <w:right w:val="single" w:color="auto" w:sz="4" w:space="0"/>
            </w:tcBorders>
            <w:vAlign w:val="center"/>
          </w:tcPr>
          <w:p w14:paraId="2F8D6506">
            <w:pPr>
              <w:autoSpaceDE/>
              <w:autoSpaceDN/>
              <w:spacing w:line="360" w:lineRule="auto"/>
              <w:ind w:firstLine="0" w:firstLineChars="0"/>
              <w:jc w:val="center"/>
              <w:rPr>
                <w:rFonts w:ascii="宋体" w:hAnsi="宋体"/>
                <w:sz w:val="21"/>
                <w:szCs w:val="21"/>
              </w:rPr>
            </w:pPr>
          </w:p>
        </w:tc>
      </w:tr>
      <w:tr w14:paraId="1CE3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2" w:hRule="atLeast"/>
          <w:jc w:val="center"/>
        </w:trPr>
        <w:tc>
          <w:tcPr>
            <w:tcW w:w="2952" w:type="dxa"/>
            <w:tcBorders>
              <w:top w:val="single" w:color="auto" w:sz="4" w:space="0"/>
              <w:left w:val="single" w:color="auto" w:sz="4" w:space="0"/>
              <w:bottom w:val="single" w:color="auto" w:sz="4" w:space="0"/>
              <w:right w:val="single" w:color="auto" w:sz="4" w:space="0"/>
            </w:tcBorders>
            <w:vAlign w:val="center"/>
          </w:tcPr>
          <w:p w14:paraId="59D27C12">
            <w:pPr>
              <w:autoSpaceDE/>
              <w:autoSpaceDN/>
              <w:spacing w:line="360" w:lineRule="auto"/>
              <w:ind w:firstLine="0" w:firstLineChars="0"/>
              <w:jc w:val="center"/>
              <w:rPr>
                <w:rFonts w:ascii="宋体" w:hAnsi="宋体"/>
                <w:snapToGrid w:val="0"/>
                <w:kern w:val="0"/>
                <w:sz w:val="21"/>
                <w:szCs w:val="21"/>
              </w:rPr>
            </w:pPr>
            <w:r>
              <w:rPr>
                <w:rFonts w:hint="eastAsia" w:ascii="宋体" w:hAnsi="宋体"/>
                <w:snapToGrid w:val="0"/>
                <w:sz w:val="21"/>
                <w:szCs w:val="21"/>
              </w:rPr>
              <w:t>参选</w:t>
            </w:r>
            <w:r>
              <w:rPr>
                <w:rFonts w:hint="eastAsia" w:ascii="宋体" w:hAnsi="宋体"/>
                <w:sz w:val="21"/>
                <w:szCs w:val="21"/>
              </w:rPr>
              <w:t>报价（含税）</w:t>
            </w:r>
          </w:p>
        </w:tc>
        <w:tc>
          <w:tcPr>
            <w:tcW w:w="5661" w:type="dxa"/>
            <w:tcBorders>
              <w:top w:val="single" w:color="auto" w:sz="4" w:space="0"/>
              <w:left w:val="single" w:color="auto" w:sz="4" w:space="0"/>
              <w:bottom w:val="single" w:color="auto" w:sz="4" w:space="0"/>
              <w:right w:val="single" w:color="auto" w:sz="4" w:space="0"/>
            </w:tcBorders>
            <w:vAlign w:val="center"/>
          </w:tcPr>
          <w:p w14:paraId="2FD890B5">
            <w:pPr>
              <w:spacing w:line="360" w:lineRule="auto"/>
              <w:ind w:firstLine="0" w:firstLineChars="0"/>
              <w:jc w:val="center"/>
              <w:rPr>
                <w:rFonts w:ascii="Times New Roman" w:hAnsi="Times New Roman"/>
                <w:snapToGrid w:val="0"/>
                <w:kern w:val="0"/>
                <w:sz w:val="21"/>
                <w:szCs w:val="21"/>
              </w:rPr>
            </w:pPr>
            <w:r>
              <w:rPr>
                <w:rFonts w:ascii="Times New Roman" w:hAnsi="Times New Roman"/>
                <w:snapToGrid w:val="0"/>
                <w:kern w:val="0"/>
                <w:sz w:val="21"/>
                <w:szCs w:val="21"/>
              </w:rPr>
              <w:t>小写</w:t>
            </w:r>
            <w:r>
              <w:rPr>
                <w:rFonts w:hint="eastAsia" w:ascii="Times New Roman" w:hAnsi="Times New Roman"/>
                <w:snapToGrid w:val="0"/>
                <w:kern w:val="0"/>
                <w:sz w:val="21"/>
                <w:szCs w:val="21"/>
              </w:rPr>
              <w:t xml:space="preserve">：            </w:t>
            </w:r>
            <w:r>
              <w:rPr>
                <w:rFonts w:ascii="Times New Roman" w:hAnsi="Times New Roman"/>
                <w:snapToGrid w:val="0"/>
                <w:kern w:val="0"/>
                <w:sz w:val="21"/>
                <w:szCs w:val="21"/>
              </w:rPr>
              <w:t>人民币</w:t>
            </w:r>
          </w:p>
          <w:p w14:paraId="2CD90EA9">
            <w:pPr>
              <w:autoSpaceDE/>
              <w:autoSpaceDN/>
              <w:spacing w:line="360" w:lineRule="auto"/>
              <w:ind w:firstLine="0" w:firstLineChars="0"/>
              <w:jc w:val="center"/>
              <w:rPr>
                <w:rFonts w:ascii="宋体" w:hAnsi="宋体"/>
                <w:sz w:val="21"/>
                <w:szCs w:val="21"/>
              </w:rPr>
            </w:pPr>
            <w:r>
              <w:rPr>
                <w:rFonts w:hint="eastAsia" w:ascii="Times New Roman" w:hAnsi="Times New Roman"/>
                <w:snapToGrid w:val="0"/>
                <w:kern w:val="0"/>
                <w:sz w:val="21"/>
                <w:szCs w:val="21"/>
              </w:rPr>
              <w:t>大写：            人民币</w:t>
            </w:r>
          </w:p>
        </w:tc>
      </w:tr>
      <w:tr w14:paraId="72B4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6" w:hRule="atLeast"/>
          <w:jc w:val="center"/>
        </w:trPr>
        <w:tc>
          <w:tcPr>
            <w:tcW w:w="2952" w:type="dxa"/>
            <w:tcBorders>
              <w:top w:val="single" w:color="auto" w:sz="4" w:space="0"/>
              <w:left w:val="single" w:color="auto" w:sz="4" w:space="0"/>
              <w:bottom w:val="single" w:color="auto" w:sz="4" w:space="0"/>
              <w:right w:val="single" w:color="auto" w:sz="4" w:space="0"/>
            </w:tcBorders>
            <w:vAlign w:val="center"/>
          </w:tcPr>
          <w:p w14:paraId="26A00979">
            <w:pPr>
              <w:autoSpaceDE/>
              <w:autoSpaceDN/>
              <w:spacing w:line="360" w:lineRule="auto"/>
              <w:ind w:firstLine="0" w:firstLineChars="0"/>
              <w:jc w:val="center"/>
              <w:rPr>
                <w:rFonts w:hint="eastAsia" w:ascii="宋体" w:hAnsi="宋体"/>
                <w:snapToGrid w:val="0"/>
                <w:kern w:val="0"/>
                <w:sz w:val="21"/>
                <w:szCs w:val="21"/>
              </w:rPr>
            </w:pPr>
            <w:r>
              <w:rPr>
                <w:rFonts w:hint="eastAsia" w:ascii="宋体" w:hAnsi="宋体"/>
                <w:snapToGrid w:val="0"/>
                <w:sz w:val="21"/>
                <w:szCs w:val="21"/>
              </w:rPr>
              <w:t>参选</w:t>
            </w:r>
            <w:r>
              <w:rPr>
                <w:rFonts w:hint="eastAsia" w:ascii="宋体" w:hAnsi="宋体"/>
                <w:sz w:val="21"/>
                <w:szCs w:val="21"/>
              </w:rPr>
              <w:t>报价（</w:t>
            </w:r>
            <w:r>
              <w:rPr>
                <w:rFonts w:hint="eastAsia" w:ascii="宋体" w:hAnsi="宋体"/>
                <w:sz w:val="21"/>
                <w:szCs w:val="21"/>
                <w:lang w:val="en-US" w:eastAsia="zh-CN"/>
              </w:rPr>
              <w:t>不</w:t>
            </w:r>
            <w:r>
              <w:rPr>
                <w:rFonts w:hint="eastAsia" w:ascii="宋体" w:hAnsi="宋体"/>
                <w:sz w:val="21"/>
                <w:szCs w:val="21"/>
              </w:rPr>
              <w:t>含税）</w:t>
            </w:r>
          </w:p>
        </w:tc>
        <w:tc>
          <w:tcPr>
            <w:tcW w:w="5661" w:type="dxa"/>
            <w:tcBorders>
              <w:top w:val="single" w:color="auto" w:sz="4" w:space="0"/>
              <w:left w:val="single" w:color="auto" w:sz="4" w:space="0"/>
              <w:bottom w:val="single" w:color="auto" w:sz="4" w:space="0"/>
              <w:right w:val="single" w:color="auto" w:sz="4" w:space="0"/>
            </w:tcBorders>
            <w:vAlign w:val="center"/>
          </w:tcPr>
          <w:p w14:paraId="085BADF5">
            <w:pPr>
              <w:spacing w:line="360" w:lineRule="auto"/>
              <w:ind w:firstLine="0" w:firstLineChars="0"/>
              <w:jc w:val="center"/>
              <w:rPr>
                <w:rFonts w:ascii="Times New Roman" w:hAnsi="Times New Roman"/>
                <w:snapToGrid w:val="0"/>
                <w:kern w:val="0"/>
                <w:sz w:val="21"/>
                <w:szCs w:val="21"/>
              </w:rPr>
            </w:pPr>
            <w:r>
              <w:rPr>
                <w:rFonts w:ascii="Times New Roman" w:hAnsi="Times New Roman"/>
                <w:snapToGrid w:val="0"/>
                <w:kern w:val="0"/>
                <w:sz w:val="21"/>
                <w:szCs w:val="21"/>
              </w:rPr>
              <w:t>小写</w:t>
            </w:r>
            <w:r>
              <w:rPr>
                <w:rFonts w:hint="eastAsia" w:ascii="Times New Roman" w:hAnsi="Times New Roman"/>
                <w:snapToGrid w:val="0"/>
                <w:kern w:val="0"/>
                <w:sz w:val="21"/>
                <w:szCs w:val="21"/>
              </w:rPr>
              <w:t xml:space="preserve">：            </w:t>
            </w:r>
            <w:r>
              <w:rPr>
                <w:rFonts w:ascii="Times New Roman" w:hAnsi="Times New Roman"/>
                <w:snapToGrid w:val="0"/>
                <w:kern w:val="0"/>
                <w:sz w:val="21"/>
                <w:szCs w:val="21"/>
              </w:rPr>
              <w:t>人民币</w:t>
            </w:r>
          </w:p>
          <w:p w14:paraId="12CD409E">
            <w:pPr>
              <w:autoSpaceDE/>
              <w:autoSpaceDN/>
              <w:spacing w:line="360" w:lineRule="auto"/>
              <w:ind w:firstLine="0" w:firstLineChars="0"/>
              <w:jc w:val="center"/>
              <w:rPr>
                <w:rFonts w:hint="eastAsia" w:ascii="宋体" w:hAnsi="宋体"/>
                <w:sz w:val="21"/>
                <w:szCs w:val="21"/>
              </w:rPr>
            </w:pPr>
            <w:r>
              <w:rPr>
                <w:rFonts w:hint="eastAsia" w:ascii="Times New Roman" w:hAnsi="Times New Roman"/>
                <w:snapToGrid w:val="0"/>
                <w:kern w:val="0"/>
                <w:sz w:val="21"/>
                <w:szCs w:val="21"/>
              </w:rPr>
              <w:t>大写：            人民币</w:t>
            </w:r>
          </w:p>
        </w:tc>
      </w:tr>
      <w:tr w14:paraId="3D84C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6" w:hRule="atLeast"/>
          <w:jc w:val="center"/>
        </w:trPr>
        <w:tc>
          <w:tcPr>
            <w:tcW w:w="2952" w:type="dxa"/>
            <w:tcBorders>
              <w:top w:val="single" w:color="auto" w:sz="4" w:space="0"/>
              <w:left w:val="single" w:color="auto" w:sz="4" w:space="0"/>
              <w:bottom w:val="single" w:color="auto" w:sz="4" w:space="0"/>
              <w:right w:val="single" w:color="auto" w:sz="4" w:space="0"/>
            </w:tcBorders>
            <w:vAlign w:val="center"/>
          </w:tcPr>
          <w:p w14:paraId="3B2BFF13">
            <w:pPr>
              <w:autoSpaceDE/>
              <w:autoSpaceDN/>
              <w:spacing w:line="360" w:lineRule="auto"/>
              <w:ind w:firstLine="0" w:firstLineChars="0"/>
              <w:jc w:val="center"/>
              <w:rPr>
                <w:rFonts w:ascii="宋体" w:hAnsi="宋体"/>
                <w:snapToGrid w:val="0"/>
                <w:kern w:val="0"/>
                <w:sz w:val="21"/>
                <w:szCs w:val="21"/>
              </w:rPr>
            </w:pPr>
            <w:r>
              <w:rPr>
                <w:rFonts w:hint="eastAsia" w:ascii="宋体" w:hAnsi="宋体"/>
                <w:snapToGrid w:val="0"/>
                <w:kern w:val="0"/>
                <w:sz w:val="21"/>
                <w:szCs w:val="21"/>
              </w:rPr>
              <w:t>开具发票类型</w:t>
            </w:r>
          </w:p>
        </w:tc>
        <w:tc>
          <w:tcPr>
            <w:tcW w:w="5661" w:type="dxa"/>
            <w:tcBorders>
              <w:top w:val="single" w:color="auto" w:sz="4" w:space="0"/>
              <w:left w:val="single" w:color="auto" w:sz="4" w:space="0"/>
              <w:bottom w:val="single" w:color="auto" w:sz="4" w:space="0"/>
              <w:right w:val="single" w:color="auto" w:sz="4" w:space="0"/>
            </w:tcBorders>
            <w:vAlign w:val="center"/>
          </w:tcPr>
          <w:p w14:paraId="072BA2C9">
            <w:pPr>
              <w:autoSpaceDE/>
              <w:autoSpaceDN/>
              <w:spacing w:line="360" w:lineRule="auto"/>
              <w:ind w:firstLine="0" w:firstLineChars="0"/>
              <w:jc w:val="center"/>
              <w:rPr>
                <w:rFonts w:ascii="宋体" w:hAnsi="宋体"/>
                <w:sz w:val="21"/>
                <w:szCs w:val="21"/>
              </w:rPr>
            </w:pPr>
            <w:r>
              <w:rPr>
                <w:rFonts w:hint="eastAsia" w:ascii="宋体" w:hAnsi="宋体"/>
                <w:sz w:val="21"/>
                <w:szCs w:val="21"/>
              </w:rPr>
              <w:t>税率为</w:t>
            </w:r>
            <w:r>
              <w:rPr>
                <w:rFonts w:hint="eastAsia" w:ascii="宋体" w:hAnsi="宋体"/>
                <w:sz w:val="21"/>
                <w:szCs w:val="21"/>
                <w:u w:val="single"/>
              </w:rPr>
              <w:t xml:space="preserve">    </w:t>
            </w:r>
            <w:r>
              <w:rPr>
                <w:rFonts w:hint="eastAsia" w:ascii="宋体" w:hAnsi="宋体"/>
                <w:sz w:val="21"/>
                <w:szCs w:val="21"/>
              </w:rPr>
              <w:t>%的增值税专用发票</w:t>
            </w:r>
          </w:p>
        </w:tc>
      </w:tr>
      <w:tr w14:paraId="5F763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7" w:hRule="atLeast"/>
          <w:jc w:val="center"/>
        </w:trPr>
        <w:tc>
          <w:tcPr>
            <w:tcW w:w="8613" w:type="dxa"/>
            <w:gridSpan w:val="2"/>
            <w:tcBorders>
              <w:top w:val="single" w:color="auto" w:sz="4" w:space="0"/>
              <w:left w:val="single" w:color="auto" w:sz="4" w:space="0"/>
              <w:bottom w:val="single" w:color="auto" w:sz="4" w:space="0"/>
              <w:right w:val="single" w:color="auto" w:sz="4" w:space="0"/>
            </w:tcBorders>
          </w:tcPr>
          <w:p w14:paraId="57E67C3B">
            <w:pPr>
              <w:autoSpaceDE/>
              <w:autoSpaceDN/>
              <w:spacing w:line="360" w:lineRule="auto"/>
              <w:ind w:firstLine="0" w:firstLineChars="0"/>
              <w:rPr>
                <w:rFonts w:ascii="宋体" w:hAnsi="宋体" w:cs="Times New Roman"/>
                <w:snapToGrid w:val="0"/>
                <w:kern w:val="0"/>
                <w:sz w:val="21"/>
                <w:szCs w:val="21"/>
              </w:rPr>
            </w:pPr>
            <w:r>
              <w:rPr>
                <w:rFonts w:hint="eastAsia" w:ascii="宋体" w:hAnsi="宋体" w:cs="Times New Roman"/>
                <w:snapToGrid w:val="0"/>
                <w:kern w:val="0"/>
                <w:sz w:val="21"/>
                <w:szCs w:val="21"/>
              </w:rPr>
              <w:t>备注：</w:t>
            </w:r>
          </w:p>
        </w:tc>
      </w:tr>
    </w:tbl>
    <w:p w14:paraId="700C5F62">
      <w:pPr>
        <w:ind w:firstLine="480"/>
        <w:rPr>
          <w:rFonts w:hint="eastAsia"/>
        </w:rPr>
      </w:pPr>
      <w:r>
        <w:br w:type="page"/>
      </w:r>
    </w:p>
    <w:p w14:paraId="52E52DA6">
      <w:pPr>
        <w:pStyle w:val="26"/>
      </w:pPr>
      <w:r>
        <w:t>三、资格性文件</w:t>
      </w:r>
    </w:p>
    <w:p w14:paraId="785B7772">
      <w:pPr>
        <w:pStyle w:val="27"/>
        <w:rPr>
          <w:rFonts w:hint="eastAsia"/>
        </w:rPr>
      </w:pPr>
      <w:r>
        <w:t>（一）参选人基本情况介绍，资质证明等</w:t>
      </w:r>
    </w:p>
    <w:tbl>
      <w:tblPr>
        <w:tblStyle w:val="15"/>
        <w:tblW w:w="90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077"/>
        <w:gridCol w:w="1803"/>
        <w:gridCol w:w="714"/>
        <w:gridCol w:w="538"/>
        <w:gridCol w:w="1325"/>
        <w:gridCol w:w="176"/>
        <w:gridCol w:w="723"/>
        <w:gridCol w:w="758"/>
      </w:tblGrid>
      <w:tr w14:paraId="077C2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980" w:type="dxa"/>
            <w:vAlign w:val="center"/>
          </w:tcPr>
          <w:p w14:paraId="25904400">
            <w:pPr>
              <w:spacing w:line="360" w:lineRule="auto"/>
              <w:ind w:firstLine="0" w:firstLineChars="0"/>
              <w:jc w:val="center"/>
              <w:rPr>
                <w:rFonts w:hint="eastAsia" w:ascii="宋体"/>
                <w:sz w:val="22"/>
                <w:szCs w:val="24"/>
              </w:rPr>
            </w:pPr>
            <w:r>
              <w:rPr>
                <w:rFonts w:hint="eastAsia" w:ascii="宋体"/>
                <w:sz w:val="22"/>
                <w:szCs w:val="24"/>
              </w:rPr>
              <w:t>参选人名称</w:t>
            </w:r>
          </w:p>
        </w:tc>
        <w:tc>
          <w:tcPr>
            <w:tcW w:w="7114" w:type="dxa"/>
            <w:gridSpan w:val="8"/>
          </w:tcPr>
          <w:p w14:paraId="1B26298E">
            <w:pPr>
              <w:spacing w:line="360" w:lineRule="auto"/>
              <w:ind w:firstLine="0" w:firstLineChars="0"/>
              <w:jc w:val="center"/>
              <w:rPr>
                <w:rFonts w:hint="eastAsia" w:ascii="宋体"/>
                <w:sz w:val="22"/>
                <w:szCs w:val="24"/>
              </w:rPr>
            </w:pPr>
          </w:p>
        </w:tc>
      </w:tr>
      <w:tr w14:paraId="6F85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980" w:type="dxa"/>
            <w:vAlign w:val="center"/>
          </w:tcPr>
          <w:p w14:paraId="4D7B4B9E">
            <w:pPr>
              <w:spacing w:line="360" w:lineRule="auto"/>
              <w:ind w:firstLine="0" w:firstLineChars="0"/>
              <w:jc w:val="center"/>
              <w:rPr>
                <w:rFonts w:hint="eastAsia" w:ascii="宋体"/>
                <w:sz w:val="22"/>
                <w:szCs w:val="24"/>
              </w:rPr>
            </w:pPr>
            <w:r>
              <w:rPr>
                <w:rFonts w:hint="eastAsia" w:ascii="宋体"/>
                <w:sz w:val="22"/>
                <w:szCs w:val="24"/>
              </w:rPr>
              <w:t>注册地址</w:t>
            </w:r>
          </w:p>
        </w:tc>
        <w:tc>
          <w:tcPr>
            <w:tcW w:w="4132" w:type="dxa"/>
            <w:gridSpan w:val="4"/>
            <w:tcBorders>
              <w:top w:val="single" w:color="auto" w:sz="4" w:space="0"/>
              <w:left w:val="single" w:color="auto" w:sz="4" w:space="0"/>
              <w:right w:val="single" w:color="auto" w:sz="4" w:space="0"/>
            </w:tcBorders>
          </w:tcPr>
          <w:p w14:paraId="7DB5F335">
            <w:pPr>
              <w:spacing w:line="360" w:lineRule="auto"/>
              <w:ind w:firstLine="0" w:firstLineChars="0"/>
              <w:jc w:val="center"/>
              <w:rPr>
                <w:rFonts w:hint="eastAsia" w:ascii="宋体"/>
                <w:sz w:val="22"/>
                <w:szCs w:val="24"/>
              </w:rPr>
            </w:pPr>
          </w:p>
        </w:tc>
        <w:tc>
          <w:tcPr>
            <w:tcW w:w="1325" w:type="dxa"/>
            <w:tcBorders>
              <w:top w:val="single" w:color="auto" w:sz="4" w:space="0"/>
              <w:left w:val="single" w:color="auto" w:sz="4" w:space="0"/>
              <w:right w:val="single" w:color="auto" w:sz="4" w:space="0"/>
            </w:tcBorders>
            <w:vAlign w:val="center"/>
          </w:tcPr>
          <w:p w14:paraId="53A2EAE4">
            <w:pPr>
              <w:spacing w:line="360" w:lineRule="auto"/>
              <w:ind w:firstLine="0" w:firstLineChars="0"/>
              <w:jc w:val="center"/>
              <w:rPr>
                <w:rFonts w:hint="eastAsia" w:ascii="宋体"/>
                <w:sz w:val="22"/>
                <w:szCs w:val="24"/>
              </w:rPr>
            </w:pPr>
            <w:r>
              <w:rPr>
                <w:rFonts w:hint="eastAsia" w:ascii="宋体"/>
                <w:sz w:val="22"/>
                <w:szCs w:val="24"/>
              </w:rPr>
              <w:t>邮政编码</w:t>
            </w:r>
          </w:p>
        </w:tc>
        <w:tc>
          <w:tcPr>
            <w:tcW w:w="1657" w:type="dxa"/>
            <w:gridSpan w:val="3"/>
          </w:tcPr>
          <w:p w14:paraId="4D5C3A49">
            <w:pPr>
              <w:spacing w:line="360" w:lineRule="auto"/>
              <w:ind w:firstLine="0" w:firstLineChars="0"/>
              <w:jc w:val="center"/>
              <w:rPr>
                <w:rFonts w:hint="eastAsia" w:ascii="宋体"/>
                <w:sz w:val="22"/>
                <w:szCs w:val="24"/>
              </w:rPr>
            </w:pPr>
          </w:p>
        </w:tc>
      </w:tr>
      <w:tr w14:paraId="6F6A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80" w:type="dxa"/>
            <w:vMerge w:val="restart"/>
            <w:vAlign w:val="center"/>
          </w:tcPr>
          <w:p w14:paraId="6DBCCA71">
            <w:pPr>
              <w:spacing w:line="360" w:lineRule="auto"/>
              <w:ind w:firstLine="0" w:firstLineChars="0"/>
              <w:jc w:val="center"/>
              <w:rPr>
                <w:rFonts w:hint="eastAsia" w:ascii="宋体"/>
                <w:sz w:val="22"/>
                <w:szCs w:val="24"/>
              </w:rPr>
            </w:pPr>
            <w:r>
              <w:rPr>
                <w:rFonts w:hint="eastAsia" w:ascii="宋体"/>
                <w:sz w:val="22"/>
                <w:szCs w:val="24"/>
              </w:rPr>
              <w:t>联系方式</w:t>
            </w:r>
          </w:p>
        </w:tc>
        <w:tc>
          <w:tcPr>
            <w:tcW w:w="1077" w:type="dxa"/>
            <w:tcBorders>
              <w:top w:val="single" w:color="auto" w:sz="4" w:space="0"/>
              <w:left w:val="single" w:color="auto" w:sz="4" w:space="0"/>
              <w:right w:val="single" w:color="auto" w:sz="4" w:space="0"/>
            </w:tcBorders>
            <w:vAlign w:val="center"/>
          </w:tcPr>
          <w:p w14:paraId="054CAAAE">
            <w:pPr>
              <w:spacing w:line="360" w:lineRule="auto"/>
              <w:ind w:firstLine="0" w:firstLineChars="0"/>
              <w:jc w:val="center"/>
              <w:rPr>
                <w:rFonts w:hint="eastAsia" w:ascii="宋体"/>
                <w:sz w:val="22"/>
                <w:szCs w:val="24"/>
              </w:rPr>
            </w:pPr>
            <w:r>
              <w:rPr>
                <w:rFonts w:hint="eastAsia" w:ascii="宋体"/>
                <w:sz w:val="22"/>
                <w:szCs w:val="24"/>
              </w:rPr>
              <w:t>联系人</w:t>
            </w:r>
          </w:p>
        </w:tc>
        <w:tc>
          <w:tcPr>
            <w:tcW w:w="3055" w:type="dxa"/>
            <w:gridSpan w:val="3"/>
            <w:tcBorders>
              <w:top w:val="single" w:color="auto" w:sz="4" w:space="0"/>
              <w:left w:val="single" w:color="auto" w:sz="4" w:space="0"/>
              <w:right w:val="single" w:color="auto" w:sz="4" w:space="0"/>
            </w:tcBorders>
          </w:tcPr>
          <w:p w14:paraId="2D6BDC50">
            <w:pPr>
              <w:spacing w:line="360" w:lineRule="auto"/>
              <w:ind w:firstLine="0" w:firstLineChars="0"/>
              <w:jc w:val="center"/>
              <w:rPr>
                <w:rFonts w:hint="eastAsia" w:ascii="宋体"/>
                <w:sz w:val="22"/>
                <w:szCs w:val="24"/>
              </w:rPr>
            </w:pPr>
          </w:p>
        </w:tc>
        <w:tc>
          <w:tcPr>
            <w:tcW w:w="1325" w:type="dxa"/>
            <w:tcBorders>
              <w:top w:val="single" w:color="auto" w:sz="4" w:space="0"/>
              <w:left w:val="single" w:color="auto" w:sz="4" w:space="0"/>
              <w:right w:val="single" w:color="auto" w:sz="4" w:space="0"/>
            </w:tcBorders>
            <w:vAlign w:val="center"/>
          </w:tcPr>
          <w:p w14:paraId="29A51E9C">
            <w:pPr>
              <w:spacing w:line="360" w:lineRule="auto"/>
              <w:ind w:firstLine="0" w:firstLineChars="0"/>
              <w:jc w:val="center"/>
              <w:rPr>
                <w:rFonts w:hint="eastAsia" w:ascii="宋体"/>
                <w:sz w:val="22"/>
                <w:szCs w:val="24"/>
              </w:rPr>
            </w:pPr>
            <w:r>
              <w:rPr>
                <w:rFonts w:hint="eastAsia" w:ascii="宋体"/>
                <w:sz w:val="22"/>
                <w:szCs w:val="24"/>
              </w:rPr>
              <w:t>电话</w:t>
            </w:r>
          </w:p>
        </w:tc>
        <w:tc>
          <w:tcPr>
            <w:tcW w:w="1657" w:type="dxa"/>
            <w:gridSpan w:val="3"/>
          </w:tcPr>
          <w:p w14:paraId="04F0E13B">
            <w:pPr>
              <w:spacing w:line="360" w:lineRule="auto"/>
              <w:ind w:firstLine="0" w:firstLineChars="0"/>
              <w:jc w:val="center"/>
              <w:rPr>
                <w:rFonts w:hint="eastAsia" w:ascii="宋体"/>
                <w:sz w:val="22"/>
                <w:szCs w:val="24"/>
              </w:rPr>
            </w:pPr>
          </w:p>
        </w:tc>
      </w:tr>
      <w:tr w14:paraId="59DC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980" w:type="dxa"/>
            <w:vMerge w:val="continue"/>
            <w:vAlign w:val="center"/>
          </w:tcPr>
          <w:p w14:paraId="2AEA9B76">
            <w:pPr>
              <w:spacing w:line="360" w:lineRule="auto"/>
              <w:ind w:firstLine="0" w:firstLineChars="0"/>
              <w:rPr>
                <w:rFonts w:hint="eastAsia"/>
              </w:rPr>
            </w:pPr>
          </w:p>
        </w:tc>
        <w:tc>
          <w:tcPr>
            <w:tcW w:w="1077" w:type="dxa"/>
            <w:tcBorders>
              <w:top w:val="single" w:color="auto" w:sz="4" w:space="0"/>
              <w:left w:val="single" w:color="auto" w:sz="4" w:space="0"/>
              <w:right w:val="single" w:color="auto" w:sz="4" w:space="0"/>
            </w:tcBorders>
            <w:vAlign w:val="center"/>
          </w:tcPr>
          <w:p w14:paraId="3BBCE47F">
            <w:pPr>
              <w:spacing w:line="360" w:lineRule="auto"/>
              <w:ind w:firstLine="0" w:firstLineChars="0"/>
              <w:jc w:val="center"/>
              <w:rPr>
                <w:rFonts w:hint="eastAsia" w:ascii="宋体"/>
                <w:sz w:val="22"/>
                <w:szCs w:val="24"/>
              </w:rPr>
            </w:pPr>
            <w:r>
              <w:rPr>
                <w:rFonts w:hint="eastAsia" w:ascii="宋体"/>
                <w:sz w:val="22"/>
                <w:szCs w:val="24"/>
              </w:rPr>
              <w:t>传真</w:t>
            </w:r>
          </w:p>
        </w:tc>
        <w:tc>
          <w:tcPr>
            <w:tcW w:w="3055" w:type="dxa"/>
            <w:gridSpan w:val="3"/>
            <w:tcBorders>
              <w:top w:val="single" w:color="auto" w:sz="4" w:space="0"/>
              <w:left w:val="single" w:color="auto" w:sz="4" w:space="0"/>
              <w:right w:val="single" w:color="auto" w:sz="4" w:space="0"/>
            </w:tcBorders>
          </w:tcPr>
          <w:p w14:paraId="70E1F6DC">
            <w:pPr>
              <w:spacing w:line="360" w:lineRule="auto"/>
              <w:ind w:firstLine="0" w:firstLineChars="0"/>
              <w:jc w:val="center"/>
              <w:rPr>
                <w:rFonts w:hint="eastAsia" w:ascii="宋体"/>
                <w:sz w:val="22"/>
                <w:szCs w:val="24"/>
              </w:rPr>
            </w:pPr>
          </w:p>
        </w:tc>
        <w:tc>
          <w:tcPr>
            <w:tcW w:w="1325" w:type="dxa"/>
            <w:tcBorders>
              <w:top w:val="single" w:color="auto" w:sz="4" w:space="0"/>
              <w:left w:val="single" w:color="auto" w:sz="4" w:space="0"/>
              <w:right w:val="single" w:color="auto" w:sz="4" w:space="0"/>
            </w:tcBorders>
            <w:vAlign w:val="center"/>
          </w:tcPr>
          <w:p w14:paraId="139BCBCE">
            <w:pPr>
              <w:spacing w:line="360" w:lineRule="auto"/>
              <w:ind w:firstLine="0" w:firstLineChars="0"/>
              <w:jc w:val="center"/>
              <w:rPr>
                <w:rFonts w:hint="eastAsia" w:ascii="宋体"/>
                <w:sz w:val="22"/>
                <w:szCs w:val="24"/>
              </w:rPr>
            </w:pPr>
            <w:r>
              <w:rPr>
                <w:rFonts w:hint="eastAsia" w:ascii="宋体"/>
                <w:sz w:val="22"/>
                <w:szCs w:val="24"/>
              </w:rPr>
              <w:t>网址</w:t>
            </w:r>
          </w:p>
        </w:tc>
        <w:tc>
          <w:tcPr>
            <w:tcW w:w="1657" w:type="dxa"/>
            <w:gridSpan w:val="3"/>
          </w:tcPr>
          <w:p w14:paraId="59B0449C">
            <w:pPr>
              <w:spacing w:line="360" w:lineRule="auto"/>
              <w:ind w:firstLine="0" w:firstLineChars="0"/>
              <w:jc w:val="center"/>
              <w:rPr>
                <w:rFonts w:hint="eastAsia" w:ascii="宋体"/>
                <w:sz w:val="22"/>
                <w:szCs w:val="24"/>
              </w:rPr>
            </w:pPr>
          </w:p>
        </w:tc>
      </w:tr>
      <w:tr w14:paraId="4A5DD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vAlign w:val="center"/>
          </w:tcPr>
          <w:p w14:paraId="3360B278">
            <w:pPr>
              <w:spacing w:line="360" w:lineRule="auto"/>
              <w:ind w:firstLine="0" w:firstLineChars="0"/>
              <w:jc w:val="center"/>
              <w:rPr>
                <w:rFonts w:hint="eastAsia" w:ascii="宋体"/>
                <w:sz w:val="22"/>
                <w:szCs w:val="24"/>
              </w:rPr>
            </w:pPr>
            <w:r>
              <w:rPr>
                <w:rFonts w:hint="eastAsia" w:ascii="宋体"/>
                <w:sz w:val="22"/>
                <w:szCs w:val="24"/>
              </w:rPr>
              <w:t>组织结构</w:t>
            </w:r>
          </w:p>
        </w:tc>
        <w:tc>
          <w:tcPr>
            <w:tcW w:w="7114" w:type="dxa"/>
            <w:gridSpan w:val="8"/>
            <w:vAlign w:val="center"/>
          </w:tcPr>
          <w:p w14:paraId="1D840BE4">
            <w:pPr>
              <w:spacing w:line="360" w:lineRule="auto"/>
              <w:ind w:firstLine="0" w:firstLineChars="0"/>
              <w:jc w:val="center"/>
              <w:rPr>
                <w:rFonts w:hint="eastAsia" w:ascii="宋体"/>
                <w:sz w:val="22"/>
                <w:szCs w:val="24"/>
              </w:rPr>
            </w:pPr>
          </w:p>
        </w:tc>
      </w:tr>
      <w:tr w14:paraId="48BA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80" w:type="dxa"/>
            <w:vAlign w:val="center"/>
          </w:tcPr>
          <w:p w14:paraId="5DEF323B">
            <w:pPr>
              <w:spacing w:line="360" w:lineRule="auto"/>
              <w:ind w:firstLine="0" w:firstLineChars="0"/>
              <w:jc w:val="center"/>
              <w:rPr>
                <w:rFonts w:hint="eastAsia" w:ascii="宋体"/>
                <w:sz w:val="22"/>
                <w:szCs w:val="24"/>
              </w:rPr>
            </w:pPr>
            <w:r>
              <w:rPr>
                <w:rFonts w:hint="eastAsia" w:ascii="宋体"/>
                <w:sz w:val="22"/>
                <w:szCs w:val="24"/>
              </w:rPr>
              <w:t>法定代表人</w:t>
            </w:r>
          </w:p>
        </w:tc>
        <w:tc>
          <w:tcPr>
            <w:tcW w:w="1077" w:type="dxa"/>
            <w:tcBorders>
              <w:top w:val="single" w:color="auto" w:sz="4" w:space="0"/>
              <w:left w:val="single" w:color="auto" w:sz="4" w:space="0"/>
              <w:right w:val="single" w:color="auto" w:sz="4" w:space="0"/>
            </w:tcBorders>
            <w:vAlign w:val="center"/>
          </w:tcPr>
          <w:p w14:paraId="3F98C5E9">
            <w:pPr>
              <w:spacing w:line="360" w:lineRule="auto"/>
              <w:ind w:firstLine="0" w:firstLineChars="0"/>
              <w:jc w:val="center"/>
              <w:rPr>
                <w:rFonts w:hint="eastAsia" w:ascii="宋体"/>
                <w:sz w:val="22"/>
                <w:szCs w:val="24"/>
              </w:rPr>
            </w:pPr>
            <w:r>
              <w:rPr>
                <w:rFonts w:hint="eastAsia" w:ascii="宋体"/>
                <w:sz w:val="22"/>
                <w:szCs w:val="24"/>
              </w:rPr>
              <w:t>姓名</w:t>
            </w:r>
          </w:p>
        </w:tc>
        <w:tc>
          <w:tcPr>
            <w:tcW w:w="1803" w:type="dxa"/>
            <w:tcBorders>
              <w:top w:val="single" w:color="auto" w:sz="4" w:space="0"/>
              <w:left w:val="single" w:color="auto" w:sz="4" w:space="0"/>
              <w:right w:val="single" w:color="auto" w:sz="4" w:space="0"/>
            </w:tcBorders>
          </w:tcPr>
          <w:p w14:paraId="0E7F4288">
            <w:pPr>
              <w:spacing w:line="360" w:lineRule="auto"/>
              <w:ind w:firstLine="0" w:firstLineChars="0"/>
              <w:jc w:val="center"/>
              <w:rPr>
                <w:rFonts w:hint="eastAsia" w:ascii="宋体"/>
                <w:sz w:val="22"/>
                <w:szCs w:val="24"/>
              </w:rPr>
            </w:pPr>
          </w:p>
        </w:tc>
        <w:tc>
          <w:tcPr>
            <w:tcW w:w="1252" w:type="dxa"/>
            <w:gridSpan w:val="2"/>
            <w:tcBorders>
              <w:top w:val="single" w:color="auto" w:sz="4" w:space="0"/>
              <w:left w:val="single" w:color="auto" w:sz="4" w:space="0"/>
              <w:right w:val="single" w:color="auto" w:sz="4" w:space="0"/>
            </w:tcBorders>
            <w:vAlign w:val="center"/>
          </w:tcPr>
          <w:p w14:paraId="4ABEDC66">
            <w:pPr>
              <w:spacing w:line="360" w:lineRule="auto"/>
              <w:ind w:firstLine="0" w:firstLineChars="0"/>
              <w:jc w:val="center"/>
              <w:rPr>
                <w:rFonts w:hint="eastAsia" w:ascii="宋体"/>
                <w:sz w:val="22"/>
                <w:szCs w:val="24"/>
              </w:rPr>
            </w:pPr>
            <w:r>
              <w:rPr>
                <w:rFonts w:hint="eastAsia" w:ascii="宋体"/>
                <w:sz w:val="22"/>
                <w:szCs w:val="24"/>
              </w:rPr>
              <w:t>技术职称</w:t>
            </w:r>
          </w:p>
        </w:tc>
        <w:tc>
          <w:tcPr>
            <w:tcW w:w="1501" w:type="dxa"/>
            <w:gridSpan w:val="2"/>
            <w:tcBorders>
              <w:top w:val="single" w:color="auto" w:sz="4" w:space="0"/>
              <w:left w:val="single" w:color="auto" w:sz="4" w:space="0"/>
              <w:right w:val="single" w:color="auto" w:sz="4" w:space="0"/>
            </w:tcBorders>
            <w:vAlign w:val="center"/>
          </w:tcPr>
          <w:p w14:paraId="715FBE6F">
            <w:pPr>
              <w:spacing w:line="360" w:lineRule="auto"/>
              <w:ind w:firstLine="0" w:firstLineChars="0"/>
              <w:jc w:val="center"/>
              <w:rPr>
                <w:rFonts w:hint="eastAsia" w:ascii="宋体"/>
                <w:sz w:val="22"/>
                <w:szCs w:val="24"/>
              </w:rPr>
            </w:pPr>
          </w:p>
        </w:tc>
        <w:tc>
          <w:tcPr>
            <w:tcW w:w="723" w:type="dxa"/>
            <w:tcBorders>
              <w:top w:val="single" w:color="auto" w:sz="4" w:space="0"/>
              <w:left w:val="single" w:color="auto" w:sz="4" w:space="0"/>
              <w:right w:val="single" w:color="auto" w:sz="4" w:space="0"/>
            </w:tcBorders>
            <w:vAlign w:val="center"/>
          </w:tcPr>
          <w:p w14:paraId="098B10BA">
            <w:pPr>
              <w:spacing w:line="360" w:lineRule="auto"/>
              <w:ind w:firstLine="0" w:firstLineChars="0"/>
              <w:jc w:val="center"/>
              <w:rPr>
                <w:rFonts w:hint="eastAsia" w:ascii="宋体"/>
                <w:sz w:val="22"/>
                <w:szCs w:val="24"/>
              </w:rPr>
            </w:pPr>
            <w:r>
              <w:rPr>
                <w:rFonts w:hint="eastAsia" w:ascii="宋体"/>
                <w:sz w:val="22"/>
                <w:szCs w:val="24"/>
              </w:rPr>
              <w:t>电话</w:t>
            </w:r>
          </w:p>
        </w:tc>
        <w:tc>
          <w:tcPr>
            <w:tcW w:w="758" w:type="dxa"/>
          </w:tcPr>
          <w:p w14:paraId="7B04F01B">
            <w:pPr>
              <w:spacing w:line="360" w:lineRule="auto"/>
              <w:ind w:firstLine="0" w:firstLineChars="0"/>
              <w:jc w:val="center"/>
              <w:rPr>
                <w:rFonts w:hint="eastAsia" w:ascii="宋体"/>
                <w:sz w:val="22"/>
                <w:szCs w:val="24"/>
              </w:rPr>
            </w:pPr>
          </w:p>
        </w:tc>
      </w:tr>
      <w:tr w14:paraId="39B60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980" w:type="dxa"/>
            <w:vAlign w:val="center"/>
          </w:tcPr>
          <w:p w14:paraId="1B99C8C8">
            <w:pPr>
              <w:spacing w:line="360" w:lineRule="auto"/>
              <w:ind w:firstLine="0" w:firstLineChars="0"/>
              <w:jc w:val="center"/>
              <w:rPr>
                <w:rFonts w:hint="eastAsia" w:ascii="宋体"/>
                <w:sz w:val="22"/>
                <w:szCs w:val="24"/>
              </w:rPr>
            </w:pPr>
            <w:r>
              <w:rPr>
                <w:rFonts w:hint="eastAsia" w:ascii="宋体"/>
                <w:sz w:val="22"/>
                <w:szCs w:val="24"/>
              </w:rPr>
              <w:t>技术负责人</w:t>
            </w:r>
          </w:p>
        </w:tc>
        <w:tc>
          <w:tcPr>
            <w:tcW w:w="1077" w:type="dxa"/>
            <w:tcBorders>
              <w:top w:val="single" w:color="auto" w:sz="4" w:space="0"/>
              <w:left w:val="single" w:color="auto" w:sz="4" w:space="0"/>
              <w:right w:val="single" w:color="auto" w:sz="4" w:space="0"/>
            </w:tcBorders>
            <w:vAlign w:val="center"/>
          </w:tcPr>
          <w:p w14:paraId="12A5D23C">
            <w:pPr>
              <w:spacing w:line="360" w:lineRule="auto"/>
              <w:ind w:firstLine="0" w:firstLineChars="0"/>
              <w:jc w:val="center"/>
              <w:rPr>
                <w:rFonts w:hint="eastAsia" w:ascii="宋体"/>
                <w:sz w:val="22"/>
                <w:szCs w:val="24"/>
              </w:rPr>
            </w:pPr>
            <w:r>
              <w:rPr>
                <w:rFonts w:hint="eastAsia" w:ascii="宋体"/>
                <w:sz w:val="22"/>
                <w:szCs w:val="24"/>
              </w:rPr>
              <w:t>姓名</w:t>
            </w:r>
          </w:p>
        </w:tc>
        <w:tc>
          <w:tcPr>
            <w:tcW w:w="1803" w:type="dxa"/>
            <w:tcBorders>
              <w:top w:val="single" w:color="auto" w:sz="4" w:space="0"/>
              <w:left w:val="single" w:color="auto" w:sz="4" w:space="0"/>
              <w:right w:val="single" w:color="auto" w:sz="4" w:space="0"/>
            </w:tcBorders>
          </w:tcPr>
          <w:p w14:paraId="277DE370">
            <w:pPr>
              <w:spacing w:line="360" w:lineRule="auto"/>
              <w:ind w:firstLine="0" w:firstLineChars="0"/>
              <w:jc w:val="center"/>
              <w:rPr>
                <w:rFonts w:hint="eastAsia" w:ascii="宋体"/>
                <w:sz w:val="22"/>
                <w:szCs w:val="24"/>
              </w:rPr>
            </w:pPr>
          </w:p>
        </w:tc>
        <w:tc>
          <w:tcPr>
            <w:tcW w:w="1252" w:type="dxa"/>
            <w:gridSpan w:val="2"/>
            <w:tcBorders>
              <w:top w:val="single" w:color="auto" w:sz="4" w:space="0"/>
              <w:left w:val="single" w:color="auto" w:sz="4" w:space="0"/>
              <w:right w:val="single" w:color="auto" w:sz="4" w:space="0"/>
            </w:tcBorders>
            <w:vAlign w:val="center"/>
          </w:tcPr>
          <w:p w14:paraId="0B418905">
            <w:pPr>
              <w:spacing w:line="360" w:lineRule="auto"/>
              <w:ind w:firstLine="0" w:firstLineChars="0"/>
              <w:jc w:val="center"/>
              <w:rPr>
                <w:rFonts w:hint="eastAsia" w:ascii="宋体"/>
                <w:sz w:val="22"/>
                <w:szCs w:val="24"/>
              </w:rPr>
            </w:pPr>
            <w:r>
              <w:rPr>
                <w:rFonts w:hint="eastAsia" w:ascii="宋体"/>
                <w:sz w:val="22"/>
                <w:szCs w:val="24"/>
              </w:rPr>
              <w:t>技术职称</w:t>
            </w:r>
          </w:p>
        </w:tc>
        <w:tc>
          <w:tcPr>
            <w:tcW w:w="1501" w:type="dxa"/>
            <w:gridSpan w:val="2"/>
            <w:tcBorders>
              <w:top w:val="single" w:color="auto" w:sz="4" w:space="0"/>
              <w:left w:val="single" w:color="auto" w:sz="4" w:space="0"/>
              <w:right w:val="single" w:color="auto" w:sz="4" w:space="0"/>
            </w:tcBorders>
            <w:vAlign w:val="center"/>
          </w:tcPr>
          <w:p w14:paraId="5F74808E">
            <w:pPr>
              <w:spacing w:line="360" w:lineRule="auto"/>
              <w:ind w:firstLine="0" w:firstLineChars="0"/>
              <w:jc w:val="center"/>
              <w:rPr>
                <w:rFonts w:hint="eastAsia" w:ascii="宋体"/>
                <w:sz w:val="22"/>
                <w:szCs w:val="24"/>
              </w:rPr>
            </w:pPr>
          </w:p>
        </w:tc>
        <w:tc>
          <w:tcPr>
            <w:tcW w:w="723" w:type="dxa"/>
            <w:tcBorders>
              <w:top w:val="single" w:color="auto" w:sz="4" w:space="0"/>
              <w:left w:val="single" w:color="auto" w:sz="4" w:space="0"/>
              <w:right w:val="single" w:color="auto" w:sz="4" w:space="0"/>
            </w:tcBorders>
            <w:vAlign w:val="center"/>
          </w:tcPr>
          <w:p w14:paraId="7942B0FA">
            <w:pPr>
              <w:spacing w:line="360" w:lineRule="auto"/>
              <w:ind w:firstLine="0" w:firstLineChars="0"/>
              <w:jc w:val="center"/>
              <w:rPr>
                <w:rFonts w:hint="eastAsia" w:ascii="宋体"/>
                <w:sz w:val="22"/>
                <w:szCs w:val="24"/>
              </w:rPr>
            </w:pPr>
            <w:r>
              <w:rPr>
                <w:rFonts w:hint="eastAsia" w:ascii="宋体"/>
                <w:sz w:val="22"/>
                <w:szCs w:val="24"/>
              </w:rPr>
              <w:t>电话</w:t>
            </w:r>
          </w:p>
        </w:tc>
        <w:tc>
          <w:tcPr>
            <w:tcW w:w="758" w:type="dxa"/>
          </w:tcPr>
          <w:p w14:paraId="2849C218">
            <w:pPr>
              <w:spacing w:line="360" w:lineRule="auto"/>
              <w:ind w:firstLine="0" w:firstLineChars="0"/>
              <w:jc w:val="center"/>
              <w:rPr>
                <w:rFonts w:hint="eastAsia" w:ascii="宋体"/>
                <w:sz w:val="22"/>
                <w:szCs w:val="24"/>
              </w:rPr>
            </w:pPr>
          </w:p>
        </w:tc>
      </w:tr>
      <w:tr w14:paraId="55478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vAlign w:val="center"/>
          </w:tcPr>
          <w:p w14:paraId="7422543C">
            <w:pPr>
              <w:spacing w:line="360" w:lineRule="auto"/>
              <w:ind w:firstLine="0" w:firstLineChars="0"/>
              <w:jc w:val="center"/>
              <w:rPr>
                <w:rFonts w:hint="eastAsia" w:ascii="宋体"/>
                <w:sz w:val="22"/>
                <w:szCs w:val="24"/>
              </w:rPr>
            </w:pPr>
            <w:r>
              <w:rPr>
                <w:rFonts w:hint="eastAsia" w:ascii="宋体"/>
                <w:sz w:val="22"/>
                <w:szCs w:val="24"/>
              </w:rPr>
              <w:t>成立时间</w:t>
            </w:r>
          </w:p>
        </w:tc>
        <w:tc>
          <w:tcPr>
            <w:tcW w:w="2880" w:type="dxa"/>
            <w:gridSpan w:val="2"/>
            <w:tcBorders>
              <w:top w:val="single" w:color="auto" w:sz="4" w:space="0"/>
              <w:left w:val="single" w:color="auto" w:sz="4" w:space="0"/>
              <w:right w:val="single" w:color="auto" w:sz="4" w:space="0"/>
            </w:tcBorders>
          </w:tcPr>
          <w:p w14:paraId="7B195EBF">
            <w:pPr>
              <w:spacing w:line="360" w:lineRule="auto"/>
              <w:ind w:firstLine="0" w:firstLineChars="0"/>
              <w:jc w:val="center"/>
              <w:rPr>
                <w:rFonts w:hint="eastAsia" w:ascii="宋体"/>
                <w:sz w:val="22"/>
                <w:szCs w:val="24"/>
              </w:rPr>
            </w:pPr>
          </w:p>
        </w:tc>
        <w:tc>
          <w:tcPr>
            <w:tcW w:w="4234" w:type="dxa"/>
            <w:gridSpan w:val="6"/>
          </w:tcPr>
          <w:p w14:paraId="7907ADCD">
            <w:pPr>
              <w:spacing w:line="360" w:lineRule="auto"/>
              <w:ind w:firstLine="0" w:firstLineChars="0"/>
              <w:jc w:val="center"/>
              <w:rPr>
                <w:rFonts w:hint="eastAsia" w:ascii="宋体"/>
                <w:sz w:val="22"/>
                <w:szCs w:val="24"/>
              </w:rPr>
            </w:pPr>
            <w:r>
              <w:rPr>
                <w:rFonts w:hint="eastAsia" w:ascii="宋体"/>
                <w:sz w:val="22"/>
                <w:szCs w:val="24"/>
              </w:rPr>
              <w:t>员工总人数：</w:t>
            </w:r>
          </w:p>
        </w:tc>
      </w:tr>
      <w:tr w14:paraId="0CA22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vAlign w:val="center"/>
          </w:tcPr>
          <w:p w14:paraId="6C783C2E">
            <w:pPr>
              <w:spacing w:line="360" w:lineRule="auto"/>
              <w:ind w:firstLine="0" w:firstLineChars="0"/>
              <w:jc w:val="center"/>
              <w:rPr>
                <w:rFonts w:hint="eastAsia" w:ascii="宋体"/>
                <w:sz w:val="22"/>
                <w:szCs w:val="24"/>
              </w:rPr>
            </w:pPr>
            <w:r>
              <w:rPr>
                <w:rFonts w:hint="eastAsia" w:ascii="宋体"/>
                <w:sz w:val="22"/>
                <w:szCs w:val="24"/>
              </w:rPr>
              <w:t>企业资质等级</w:t>
            </w:r>
          </w:p>
        </w:tc>
        <w:tc>
          <w:tcPr>
            <w:tcW w:w="2880" w:type="dxa"/>
            <w:gridSpan w:val="2"/>
            <w:tcBorders>
              <w:top w:val="single" w:color="auto" w:sz="4" w:space="0"/>
              <w:left w:val="single" w:color="auto" w:sz="4" w:space="0"/>
              <w:right w:val="single" w:color="auto" w:sz="4" w:space="0"/>
            </w:tcBorders>
          </w:tcPr>
          <w:p w14:paraId="2AB8A03B">
            <w:pPr>
              <w:spacing w:line="360" w:lineRule="auto"/>
              <w:ind w:firstLine="0" w:firstLineChars="0"/>
              <w:jc w:val="center"/>
              <w:rPr>
                <w:rFonts w:hint="eastAsia" w:ascii="宋体"/>
                <w:sz w:val="22"/>
                <w:szCs w:val="24"/>
              </w:rPr>
            </w:pPr>
          </w:p>
        </w:tc>
        <w:tc>
          <w:tcPr>
            <w:tcW w:w="714" w:type="dxa"/>
            <w:vMerge w:val="restart"/>
            <w:tcBorders>
              <w:top w:val="single" w:color="auto" w:sz="4" w:space="0"/>
              <w:left w:val="single" w:color="auto" w:sz="4" w:space="0"/>
              <w:right w:val="single" w:color="auto" w:sz="4" w:space="0"/>
            </w:tcBorders>
            <w:vAlign w:val="center"/>
          </w:tcPr>
          <w:p w14:paraId="73710542">
            <w:pPr>
              <w:spacing w:line="360" w:lineRule="auto"/>
              <w:ind w:firstLine="0" w:firstLineChars="0"/>
              <w:jc w:val="center"/>
              <w:rPr>
                <w:rFonts w:hint="eastAsia" w:ascii="宋体"/>
                <w:sz w:val="22"/>
                <w:szCs w:val="24"/>
              </w:rPr>
            </w:pPr>
            <w:r>
              <w:rPr>
                <w:rFonts w:hint="eastAsia" w:ascii="宋体"/>
                <w:sz w:val="22"/>
                <w:szCs w:val="24"/>
              </w:rPr>
              <w:t>其中</w:t>
            </w:r>
          </w:p>
        </w:tc>
        <w:tc>
          <w:tcPr>
            <w:tcW w:w="2039" w:type="dxa"/>
            <w:gridSpan w:val="3"/>
            <w:tcBorders>
              <w:top w:val="single" w:color="auto" w:sz="4" w:space="0"/>
              <w:left w:val="single" w:color="auto" w:sz="4" w:space="0"/>
              <w:right w:val="single" w:color="auto" w:sz="4" w:space="0"/>
            </w:tcBorders>
            <w:vAlign w:val="center"/>
          </w:tcPr>
          <w:p w14:paraId="1AF718EA">
            <w:pPr>
              <w:spacing w:line="360" w:lineRule="auto"/>
              <w:ind w:firstLine="0" w:firstLineChars="0"/>
              <w:jc w:val="center"/>
              <w:rPr>
                <w:rFonts w:hint="eastAsia" w:ascii="宋体"/>
                <w:sz w:val="22"/>
                <w:szCs w:val="24"/>
              </w:rPr>
            </w:pPr>
            <w:r>
              <w:rPr>
                <w:rFonts w:hint="eastAsia" w:ascii="宋体"/>
                <w:sz w:val="22"/>
                <w:szCs w:val="24"/>
              </w:rPr>
              <w:t>项目经理</w:t>
            </w:r>
          </w:p>
        </w:tc>
        <w:tc>
          <w:tcPr>
            <w:tcW w:w="1481" w:type="dxa"/>
            <w:gridSpan w:val="2"/>
          </w:tcPr>
          <w:p w14:paraId="3A4886F5">
            <w:pPr>
              <w:spacing w:line="360" w:lineRule="auto"/>
              <w:ind w:firstLine="0" w:firstLineChars="0"/>
              <w:jc w:val="center"/>
              <w:rPr>
                <w:rFonts w:hint="eastAsia" w:ascii="宋体"/>
                <w:sz w:val="22"/>
                <w:szCs w:val="24"/>
              </w:rPr>
            </w:pPr>
          </w:p>
        </w:tc>
      </w:tr>
      <w:tr w14:paraId="5BF5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980" w:type="dxa"/>
            <w:vAlign w:val="center"/>
          </w:tcPr>
          <w:p w14:paraId="1567CC8C">
            <w:pPr>
              <w:spacing w:line="360" w:lineRule="auto"/>
              <w:ind w:firstLine="0" w:firstLineChars="0"/>
              <w:jc w:val="center"/>
              <w:rPr>
                <w:rFonts w:hint="eastAsia" w:ascii="宋体"/>
                <w:sz w:val="22"/>
                <w:szCs w:val="24"/>
              </w:rPr>
            </w:pPr>
            <w:r>
              <w:rPr>
                <w:rFonts w:hint="eastAsia" w:ascii="宋体"/>
                <w:sz w:val="22"/>
                <w:szCs w:val="24"/>
              </w:rPr>
              <w:t>营业执照号</w:t>
            </w:r>
          </w:p>
        </w:tc>
        <w:tc>
          <w:tcPr>
            <w:tcW w:w="2880" w:type="dxa"/>
            <w:gridSpan w:val="2"/>
            <w:tcBorders>
              <w:top w:val="single" w:color="auto" w:sz="4" w:space="0"/>
              <w:left w:val="single" w:color="auto" w:sz="4" w:space="0"/>
              <w:right w:val="single" w:color="auto" w:sz="4" w:space="0"/>
            </w:tcBorders>
          </w:tcPr>
          <w:p w14:paraId="0AED6ABF">
            <w:pPr>
              <w:spacing w:line="360" w:lineRule="auto"/>
              <w:ind w:firstLine="0" w:firstLineChars="0"/>
              <w:jc w:val="center"/>
              <w:rPr>
                <w:rFonts w:hint="eastAsia" w:ascii="宋体"/>
                <w:sz w:val="22"/>
                <w:szCs w:val="24"/>
              </w:rPr>
            </w:pPr>
          </w:p>
        </w:tc>
        <w:tc>
          <w:tcPr>
            <w:tcW w:w="714" w:type="dxa"/>
            <w:vMerge w:val="continue"/>
            <w:tcBorders>
              <w:top w:val="single" w:color="auto" w:sz="4" w:space="0"/>
              <w:left w:val="single" w:color="auto" w:sz="4" w:space="0"/>
              <w:right w:val="single" w:color="auto" w:sz="4" w:space="0"/>
            </w:tcBorders>
          </w:tcPr>
          <w:p w14:paraId="5D6D7753">
            <w:pPr>
              <w:spacing w:line="360" w:lineRule="auto"/>
              <w:ind w:firstLine="0" w:firstLineChars="0"/>
              <w:rPr>
                <w:rFonts w:hint="eastAsia"/>
              </w:rPr>
            </w:pPr>
          </w:p>
        </w:tc>
        <w:tc>
          <w:tcPr>
            <w:tcW w:w="2039" w:type="dxa"/>
            <w:gridSpan w:val="3"/>
            <w:tcBorders>
              <w:top w:val="single" w:color="auto" w:sz="4" w:space="0"/>
              <w:left w:val="single" w:color="auto" w:sz="4" w:space="0"/>
              <w:right w:val="single" w:color="auto" w:sz="4" w:space="0"/>
            </w:tcBorders>
            <w:vAlign w:val="center"/>
          </w:tcPr>
          <w:p w14:paraId="576CCBB3">
            <w:pPr>
              <w:spacing w:line="360" w:lineRule="auto"/>
              <w:ind w:firstLine="0" w:firstLineChars="0"/>
              <w:jc w:val="center"/>
              <w:rPr>
                <w:rFonts w:hint="eastAsia" w:ascii="宋体"/>
                <w:sz w:val="22"/>
                <w:szCs w:val="24"/>
              </w:rPr>
            </w:pPr>
            <w:r>
              <w:rPr>
                <w:rFonts w:hint="eastAsia" w:ascii="宋体"/>
                <w:sz w:val="22"/>
                <w:szCs w:val="24"/>
              </w:rPr>
              <w:t>高级职称人员</w:t>
            </w:r>
          </w:p>
        </w:tc>
        <w:tc>
          <w:tcPr>
            <w:tcW w:w="1481" w:type="dxa"/>
            <w:gridSpan w:val="2"/>
          </w:tcPr>
          <w:p w14:paraId="1FB3F98E">
            <w:pPr>
              <w:spacing w:line="360" w:lineRule="auto"/>
              <w:ind w:firstLine="0" w:firstLineChars="0"/>
              <w:jc w:val="center"/>
              <w:rPr>
                <w:rFonts w:hint="eastAsia" w:ascii="宋体"/>
                <w:sz w:val="22"/>
                <w:szCs w:val="24"/>
              </w:rPr>
            </w:pPr>
          </w:p>
        </w:tc>
      </w:tr>
      <w:tr w14:paraId="3820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980" w:type="dxa"/>
            <w:vAlign w:val="center"/>
          </w:tcPr>
          <w:p w14:paraId="198AFBE5">
            <w:pPr>
              <w:spacing w:line="360" w:lineRule="auto"/>
              <w:ind w:firstLine="0" w:firstLineChars="0"/>
              <w:jc w:val="center"/>
              <w:rPr>
                <w:rFonts w:hint="eastAsia" w:ascii="宋体"/>
                <w:sz w:val="22"/>
                <w:szCs w:val="24"/>
              </w:rPr>
            </w:pPr>
            <w:r>
              <w:rPr>
                <w:rFonts w:hint="eastAsia" w:ascii="宋体"/>
                <w:sz w:val="22"/>
                <w:szCs w:val="24"/>
              </w:rPr>
              <w:t>注册资金</w:t>
            </w:r>
          </w:p>
        </w:tc>
        <w:tc>
          <w:tcPr>
            <w:tcW w:w="2880" w:type="dxa"/>
            <w:gridSpan w:val="2"/>
            <w:tcBorders>
              <w:top w:val="single" w:color="auto" w:sz="4" w:space="0"/>
              <w:left w:val="single" w:color="auto" w:sz="4" w:space="0"/>
              <w:right w:val="single" w:color="auto" w:sz="4" w:space="0"/>
            </w:tcBorders>
          </w:tcPr>
          <w:p w14:paraId="27897405">
            <w:pPr>
              <w:spacing w:line="360" w:lineRule="auto"/>
              <w:ind w:firstLine="0" w:firstLineChars="0"/>
              <w:jc w:val="center"/>
              <w:rPr>
                <w:rFonts w:hint="eastAsia" w:ascii="宋体"/>
                <w:sz w:val="22"/>
                <w:szCs w:val="24"/>
              </w:rPr>
            </w:pPr>
          </w:p>
        </w:tc>
        <w:tc>
          <w:tcPr>
            <w:tcW w:w="714" w:type="dxa"/>
            <w:vMerge w:val="continue"/>
            <w:tcBorders>
              <w:top w:val="single" w:color="auto" w:sz="4" w:space="0"/>
              <w:left w:val="single" w:color="auto" w:sz="4" w:space="0"/>
              <w:right w:val="single" w:color="auto" w:sz="4" w:space="0"/>
            </w:tcBorders>
          </w:tcPr>
          <w:p w14:paraId="76892F00">
            <w:pPr>
              <w:spacing w:line="360" w:lineRule="auto"/>
              <w:ind w:firstLine="0" w:firstLineChars="0"/>
              <w:rPr>
                <w:rFonts w:hint="eastAsia"/>
              </w:rPr>
            </w:pPr>
          </w:p>
        </w:tc>
        <w:tc>
          <w:tcPr>
            <w:tcW w:w="2039" w:type="dxa"/>
            <w:gridSpan w:val="3"/>
            <w:tcBorders>
              <w:top w:val="single" w:color="auto" w:sz="4" w:space="0"/>
              <w:left w:val="single" w:color="auto" w:sz="4" w:space="0"/>
              <w:right w:val="single" w:color="auto" w:sz="4" w:space="0"/>
            </w:tcBorders>
            <w:vAlign w:val="center"/>
          </w:tcPr>
          <w:p w14:paraId="0A79EA09">
            <w:pPr>
              <w:spacing w:line="360" w:lineRule="auto"/>
              <w:ind w:firstLine="0" w:firstLineChars="0"/>
              <w:jc w:val="center"/>
              <w:rPr>
                <w:rFonts w:hint="eastAsia" w:ascii="宋体"/>
                <w:sz w:val="22"/>
                <w:szCs w:val="24"/>
              </w:rPr>
            </w:pPr>
            <w:r>
              <w:rPr>
                <w:rFonts w:hint="eastAsia" w:ascii="宋体"/>
                <w:sz w:val="22"/>
                <w:szCs w:val="24"/>
              </w:rPr>
              <w:t>中级职称人员</w:t>
            </w:r>
          </w:p>
        </w:tc>
        <w:tc>
          <w:tcPr>
            <w:tcW w:w="1481" w:type="dxa"/>
            <w:gridSpan w:val="2"/>
          </w:tcPr>
          <w:p w14:paraId="32C90AE8">
            <w:pPr>
              <w:spacing w:line="360" w:lineRule="auto"/>
              <w:ind w:firstLine="0" w:firstLineChars="0"/>
              <w:jc w:val="center"/>
              <w:rPr>
                <w:rFonts w:hint="eastAsia" w:ascii="宋体"/>
                <w:sz w:val="22"/>
                <w:szCs w:val="24"/>
              </w:rPr>
            </w:pPr>
          </w:p>
        </w:tc>
      </w:tr>
      <w:tr w14:paraId="02451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980" w:type="dxa"/>
            <w:vAlign w:val="center"/>
          </w:tcPr>
          <w:p w14:paraId="4D57AA72">
            <w:pPr>
              <w:spacing w:line="360" w:lineRule="auto"/>
              <w:ind w:firstLine="0" w:firstLineChars="0"/>
              <w:jc w:val="center"/>
              <w:rPr>
                <w:rFonts w:hint="eastAsia" w:ascii="宋体"/>
                <w:sz w:val="22"/>
                <w:szCs w:val="24"/>
              </w:rPr>
            </w:pPr>
            <w:r>
              <w:rPr>
                <w:rFonts w:hint="eastAsia" w:ascii="宋体"/>
                <w:sz w:val="22"/>
                <w:szCs w:val="24"/>
              </w:rPr>
              <w:t>开户银行</w:t>
            </w:r>
          </w:p>
        </w:tc>
        <w:tc>
          <w:tcPr>
            <w:tcW w:w="2880" w:type="dxa"/>
            <w:gridSpan w:val="2"/>
            <w:tcBorders>
              <w:top w:val="single" w:color="auto" w:sz="4" w:space="0"/>
              <w:left w:val="single" w:color="auto" w:sz="4" w:space="0"/>
              <w:right w:val="single" w:color="auto" w:sz="4" w:space="0"/>
            </w:tcBorders>
          </w:tcPr>
          <w:p w14:paraId="5D8827F5">
            <w:pPr>
              <w:spacing w:line="360" w:lineRule="auto"/>
              <w:ind w:firstLine="0" w:firstLineChars="0"/>
              <w:jc w:val="center"/>
              <w:rPr>
                <w:rFonts w:hint="eastAsia" w:ascii="宋体"/>
                <w:sz w:val="22"/>
                <w:szCs w:val="24"/>
              </w:rPr>
            </w:pPr>
          </w:p>
        </w:tc>
        <w:tc>
          <w:tcPr>
            <w:tcW w:w="714" w:type="dxa"/>
            <w:vMerge w:val="continue"/>
            <w:tcBorders>
              <w:top w:val="single" w:color="auto" w:sz="4" w:space="0"/>
              <w:left w:val="single" w:color="auto" w:sz="4" w:space="0"/>
              <w:right w:val="single" w:color="auto" w:sz="4" w:space="0"/>
            </w:tcBorders>
          </w:tcPr>
          <w:p w14:paraId="4C0BB170">
            <w:pPr>
              <w:spacing w:line="360" w:lineRule="auto"/>
              <w:ind w:firstLine="0" w:firstLineChars="0"/>
              <w:rPr>
                <w:rFonts w:hint="eastAsia"/>
              </w:rPr>
            </w:pPr>
          </w:p>
        </w:tc>
        <w:tc>
          <w:tcPr>
            <w:tcW w:w="2039" w:type="dxa"/>
            <w:gridSpan w:val="3"/>
            <w:tcBorders>
              <w:top w:val="single" w:color="auto" w:sz="4" w:space="0"/>
              <w:left w:val="single" w:color="auto" w:sz="4" w:space="0"/>
              <w:right w:val="single" w:color="auto" w:sz="4" w:space="0"/>
            </w:tcBorders>
            <w:vAlign w:val="center"/>
          </w:tcPr>
          <w:p w14:paraId="3FBF6B4B">
            <w:pPr>
              <w:spacing w:line="360" w:lineRule="auto"/>
              <w:ind w:firstLine="0" w:firstLineChars="0"/>
              <w:jc w:val="center"/>
              <w:rPr>
                <w:rFonts w:hint="eastAsia" w:ascii="宋体"/>
                <w:sz w:val="22"/>
                <w:szCs w:val="24"/>
              </w:rPr>
            </w:pPr>
            <w:r>
              <w:rPr>
                <w:rFonts w:hint="eastAsia" w:ascii="宋体"/>
                <w:sz w:val="22"/>
                <w:szCs w:val="24"/>
              </w:rPr>
              <w:t>初级职称人员</w:t>
            </w:r>
          </w:p>
        </w:tc>
        <w:tc>
          <w:tcPr>
            <w:tcW w:w="1481" w:type="dxa"/>
            <w:gridSpan w:val="2"/>
          </w:tcPr>
          <w:p w14:paraId="7BFCD1A1">
            <w:pPr>
              <w:spacing w:line="360" w:lineRule="auto"/>
              <w:ind w:firstLine="0" w:firstLineChars="0"/>
              <w:jc w:val="center"/>
              <w:rPr>
                <w:rFonts w:hint="eastAsia" w:ascii="宋体"/>
                <w:sz w:val="22"/>
                <w:szCs w:val="24"/>
              </w:rPr>
            </w:pPr>
          </w:p>
        </w:tc>
      </w:tr>
      <w:tr w14:paraId="532CD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980" w:type="dxa"/>
            <w:vAlign w:val="center"/>
          </w:tcPr>
          <w:p w14:paraId="59D092DF">
            <w:pPr>
              <w:spacing w:line="360" w:lineRule="auto"/>
              <w:ind w:firstLine="0" w:firstLineChars="0"/>
              <w:jc w:val="center"/>
              <w:rPr>
                <w:rFonts w:hint="eastAsia" w:ascii="宋体"/>
                <w:sz w:val="22"/>
                <w:szCs w:val="24"/>
              </w:rPr>
            </w:pPr>
            <w:r>
              <w:rPr>
                <w:rFonts w:hint="eastAsia" w:ascii="宋体"/>
                <w:sz w:val="22"/>
                <w:szCs w:val="24"/>
              </w:rPr>
              <w:t>账号</w:t>
            </w:r>
          </w:p>
        </w:tc>
        <w:tc>
          <w:tcPr>
            <w:tcW w:w="2880" w:type="dxa"/>
            <w:gridSpan w:val="2"/>
            <w:tcBorders>
              <w:top w:val="single" w:color="auto" w:sz="4" w:space="0"/>
              <w:left w:val="single" w:color="auto" w:sz="4" w:space="0"/>
              <w:right w:val="single" w:color="auto" w:sz="4" w:space="0"/>
            </w:tcBorders>
          </w:tcPr>
          <w:p w14:paraId="6C7773BB">
            <w:pPr>
              <w:spacing w:line="360" w:lineRule="auto"/>
              <w:ind w:firstLine="0" w:firstLineChars="0"/>
              <w:jc w:val="center"/>
              <w:rPr>
                <w:rFonts w:hint="eastAsia" w:ascii="宋体"/>
                <w:sz w:val="22"/>
                <w:szCs w:val="24"/>
              </w:rPr>
            </w:pPr>
          </w:p>
        </w:tc>
        <w:tc>
          <w:tcPr>
            <w:tcW w:w="714" w:type="dxa"/>
            <w:vMerge w:val="continue"/>
            <w:tcBorders>
              <w:top w:val="single" w:color="auto" w:sz="4" w:space="0"/>
              <w:left w:val="single" w:color="auto" w:sz="4" w:space="0"/>
              <w:right w:val="single" w:color="auto" w:sz="4" w:space="0"/>
            </w:tcBorders>
          </w:tcPr>
          <w:p w14:paraId="33995F7C">
            <w:pPr>
              <w:spacing w:line="360" w:lineRule="auto"/>
              <w:ind w:firstLine="0" w:firstLineChars="0"/>
              <w:rPr>
                <w:rFonts w:hint="eastAsia"/>
              </w:rPr>
            </w:pPr>
          </w:p>
        </w:tc>
        <w:tc>
          <w:tcPr>
            <w:tcW w:w="2039" w:type="dxa"/>
            <w:gridSpan w:val="3"/>
            <w:tcBorders>
              <w:top w:val="single" w:color="auto" w:sz="4" w:space="0"/>
              <w:left w:val="single" w:color="auto" w:sz="4" w:space="0"/>
              <w:right w:val="single" w:color="auto" w:sz="4" w:space="0"/>
            </w:tcBorders>
            <w:vAlign w:val="center"/>
          </w:tcPr>
          <w:p w14:paraId="7729F2B8">
            <w:pPr>
              <w:spacing w:line="360" w:lineRule="auto"/>
              <w:ind w:firstLine="0" w:firstLineChars="0"/>
              <w:jc w:val="center"/>
              <w:rPr>
                <w:rFonts w:hint="eastAsia" w:ascii="宋体"/>
                <w:sz w:val="22"/>
                <w:szCs w:val="24"/>
              </w:rPr>
            </w:pPr>
            <w:r>
              <w:rPr>
                <w:rFonts w:hint="eastAsia" w:ascii="宋体"/>
                <w:sz w:val="22"/>
                <w:szCs w:val="24"/>
              </w:rPr>
              <w:t>技工</w:t>
            </w:r>
          </w:p>
        </w:tc>
        <w:tc>
          <w:tcPr>
            <w:tcW w:w="1481" w:type="dxa"/>
            <w:gridSpan w:val="2"/>
          </w:tcPr>
          <w:p w14:paraId="1F37F276">
            <w:pPr>
              <w:spacing w:line="360" w:lineRule="auto"/>
              <w:ind w:firstLine="0" w:firstLineChars="0"/>
              <w:jc w:val="center"/>
              <w:rPr>
                <w:rFonts w:hint="eastAsia" w:ascii="宋体"/>
                <w:sz w:val="22"/>
                <w:szCs w:val="24"/>
              </w:rPr>
            </w:pPr>
          </w:p>
        </w:tc>
      </w:tr>
      <w:tr w14:paraId="7F86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jc w:val="center"/>
        </w:trPr>
        <w:tc>
          <w:tcPr>
            <w:tcW w:w="1980" w:type="dxa"/>
            <w:vAlign w:val="center"/>
          </w:tcPr>
          <w:p w14:paraId="65888EF8">
            <w:pPr>
              <w:spacing w:line="360" w:lineRule="auto"/>
              <w:ind w:firstLine="0" w:firstLineChars="0"/>
              <w:jc w:val="center"/>
              <w:rPr>
                <w:rFonts w:hint="eastAsia" w:ascii="宋体"/>
                <w:sz w:val="22"/>
                <w:szCs w:val="24"/>
              </w:rPr>
            </w:pPr>
            <w:r>
              <w:rPr>
                <w:rFonts w:hint="eastAsia" w:ascii="宋体"/>
                <w:sz w:val="22"/>
                <w:szCs w:val="24"/>
              </w:rPr>
              <w:t>经营范围</w:t>
            </w:r>
          </w:p>
        </w:tc>
        <w:tc>
          <w:tcPr>
            <w:tcW w:w="7114" w:type="dxa"/>
            <w:gridSpan w:val="8"/>
          </w:tcPr>
          <w:p w14:paraId="4E01D42F">
            <w:pPr>
              <w:spacing w:line="360" w:lineRule="auto"/>
              <w:ind w:firstLine="0" w:firstLineChars="0"/>
              <w:jc w:val="center"/>
              <w:rPr>
                <w:rFonts w:hint="eastAsia" w:ascii="宋体"/>
                <w:sz w:val="22"/>
                <w:szCs w:val="24"/>
              </w:rPr>
            </w:pPr>
          </w:p>
        </w:tc>
      </w:tr>
      <w:tr w14:paraId="05A7C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980" w:type="dxa"/>
            <w:vAlign w:val="center"/>
          </w:tcPr>
          <w:p w14:paraId="710F3B59">
            <w:pPr>
              <w:spacing w:line="360" w:lineRule="auto"/>
              <w:ind w:firstLine="0" w:firstLineChars="0"/>
              <w:jc w:val="center"/>
              <w:rPr>
                <w:rFonts w:hint="eastAsia" w:ascii="宋体"/>
                <w:sz w:val="22"/>
                <w:szCs w:val="24"/>
              </w:rPr>
            </w:pPr>
            <w:r>
              <w:rPr>
                <w:rFonts w:hint="eastAsia" w:ascii="宋体"/>
                <w:sz w:val="22"/>
                <w:szCs w:val="24"/>
              </w:rPr>
              <w:t>备注</w:t>
            </w:r>
          </w:p>
        </w:tc>
        <w:tc>
          <w:tcPr>
            <w:tcW w:w="7114" w:type="dxa"/>
            <w:gridSpan w:val="8"/>
          </w:tcPr>
          <w:p w14:paraId="0C57DA4C">
            <w:pPr>
              <w:spacing w:line="360" w:lineRule="auto"/>
              <w:ind w:firstLine="0" w:firstLineChars="0"/>
              <w:jc w:val="center"/>
              <w:rPr>
                <w:rFonts w:hint="eastAsia" w:ascii="宋体"/>
                <w:sz w:val="22"/>
                <w:szCs w:val="24"/>
              </w:rPr>
            </w:pPr>
          </w:p>
        </w:tc>
      </w:tr>
    </w:tbl>
    <w:p w14:paraId="105211FD">
      <w:pPr>
        <w:widowControl/>
        <w:spacing w:line="360" w:lineRule="auto"/>
        <w:ind w:firstLine="400"/>
        <w:jc w:val="left"/>
        <w:rPr>
          <w:rFonts w:hint="eastAsia" w:ascii="宋体"/>
          <w:sz w:val="20"/>
          <w:szCs w:val="21"/>
        </w:rPr>
        <w:sectPr>
          <w:pgSz w:w="11906" w:h="16838"/>
          <w:pgMar w:top="1440" w:right="1800" w:bottom="1440" w:left="1800" w:header="851" w:footer="992" w:gutter="0"/>
          <w:pgNumType w:fmt="decimal"/>
          <w:cols w:space="720" w:num="1"/>
          <w:docGrid w:type="lines" w:linePitch="312" w:charSpace="0"/>
        </w:sectPr>
      </w:pPr>
      <w:r>
        <w:rPr>
          <w:rFonts w:hint="eastAsia" w:ascii="宋体"/>
          <w:sz w:val="20"/>
          <w:szCs w:val="21"/>
        </w:rPr>
        <w:t>注：附营业执照（副本）、资质证明复印件等。</w:t>
      </w:r>
    </w:p>
    <w:p w14:paraId="002398C3">
      <w:pPr>
        <w:pStyle w:val="27"/>
        <w:rPr>
          <w:rFonts w:ascii="Times New Roman" w:hAnsi="Times New Roman"/>
        </w:rPr>
      </w:pPr>
      <w:bookmarkStart w:id="96" w:name="_Toc14270"/>
      <w:bookmarkStart w:id="97" w:name="_Toc8213"/>
      <w:bookmarkStart w:id="98" w:name="_Toc378234770"/>
      <w:bookmarkStart w:id="99" w:name="_Toc478053903"/>
      <w:bookmarkStart w:id="100" w:name="_Toc378234584"/>
      <w:bookmarkStart w:id="101" w:name="_Toc478054435"/>
      <w:bookmarkStart w:id="102" w:name="_Toc472780356"/>
      <w:r>
        <w:rPr>
          <w:rFonts w:ascii="Times New Roman" w:hAnsi="Times New Roman"/>
        </w:rPr>
        <w:t>（二）法定代表人身份证明及授权委托书</w:t>
      </w:r>
      <w:bookmarkEnd w:id="96"/>
      <w:bookmarkEnd w:id="97"/>
    </w:p>
    <w:p w14:paraId="1E462667">
      <w:pPr>
        <w:pStyle w:val="28"/>
        <w:rPr>
          <w:rFonts w:hint="default" w:ascii="Times New Roman" w:hAnsi="Times New Roman"/>
        </w:rPr>
      </w:pPr>
      <w:r>
        <w:rPr>
          <w:rFonts w:ascii="Times New Roman" w:hAnsi="Times New Roman"/>
        </w:rPr>
        <w:t>法定代表人身份证明书</w:t>
      </w:r>
    </w:p>
    <w:p w14:paraId="19BD18F1">
      <w:pPr>
        <w:tabs>
          <w:tab w:val="left" w:pos="6300"/>
        </w:tabs>
        <w:snapToGrid w:val="0"/>
        <w:spacing w:line="360" w:lineRule="auto"/>
        <w:ind w:firstLine="480"/>
        <w:rPr>
          <w:rFonts w:ascii="Times New Roman" w:hAnsi="Times New Roman"/>
          <w:snapToGrid w:val="0"/>
          <w:kern w:val="0"/>
        </w:rPr>
      </w:pPr>
    </w:p>
    <w:p w14:paraId="537F3814">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项目名称：</w:t>
      </w:r>
      <w:r>
        <w:rPr>
          <w:rFonts w:hint="eastAsia" w:ascii="Times New Roman" w:hAnsi="Times New Roman"/>
          <w:snapToGrid w:val="0"/>
          <w:kern w:val="0"/>
          <w:u w:val="single"/>
        </w:rPr>
        <w:t>____________________</w:t>
      </w:r>
    </w:p>
    <w:p w14:paraId="7F302280">
      <w:pPr>
        <w:tabs>
          <w:tab w:val="left" w:pos="6300"/>
        </w:tabs>
        <w:snapToGrid w:val="0"/>
        <w:spacing w:line="360" w:lineRule="auto"/>
        <w:ind w:firstLine="480"/>
        <w:rPr>
          <w:rFonts w:ascii="Times New Roman" w:hAnsi="Times New Roman"/>
          <w:snapToGrid w:val="0"/>
          <w:kern w:val="0"/>
        </w:rPr>
      </w:pPr>
    </w:p>
    <w:p w14:paraId="376642A9">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致：</w:t>
      </w:r>
      <w:r>
        <w:rPr>
          <w:rFonts w:hint="eastAsia" w:ascii="Times New Roman" w:hAnsi="Times New Roman"/>
          <w:snapToGrid w:val="0"/>
          <w:kern w:val="0"/>
          <w:u w:val="single"/>
        </w:rPr>
        <w:t xml:space="preserve"> 重庆三峡银行股份有限公司  </w:t>
      </w:r>
      <w:r>
        <w:rPr>
          <w:rFonts w:hint="eastAsia" w:ascii="Times New Roman" w:hAnsi="Times New Roman"/>
          <w:snapToGrid w:val="0"/>
          <w:kern w:val="0"/>
        </w:rPr>
        <w:t>：</w:t>
      </w:r>
    </w:p>
    <w:p w14:paraId="308B15B9">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u w:val="single"/>
        </w:rPr>
        <w:t xml:space="preserve">        </w:t>
      </w:r>
      <w:r>
        <w:rPr>
          <w:rFonts w:hint="eastAsia" w:ascii="Times New Roman" w:hAnsi="Times New Roman"/>
          <w:snapToGrid w:val="0"/>
          <w:kern w:val="0"/>
        </w:rPr>
        <w:t>（</w:t>
      </w:r>
      <w:r>
        <w:rPr>
          <w:rFonts w:hint="eastAsia" w:ascii="Times New Roman" w:hAnsi="Times New Roman" w:cs="Cambria"/>
          <w:snapToGrid w:val="0"/>
          <w:kern w:val="0"/>
          <w:szCs w:val="24"/>
        </w:rPr>
        <w:t>参选</w:t>
      </w:r>
      <w:r>
        <w:rPr>
          <w:rFonts w:hint="eastAsia" w:ascii="Times New Roman" w:hAnsi="Times New Roman"/>
          <w:snapToGrid w:val="0"/>
          <w:kern w:val="0"/>
        </w:rPr>
        <w:t>人法定代表人）在</w:t>
      </w:r>
      <w:r>
        <w:rPr>
          <w:rFonts w:hint="eastAsia" w:ascii="Times New Roman" w:hAnsi="Times New Roman"/>
          <w:snapToGrid w:val="0"/>
          <w:kern w:val="0"/>
          <w:u w:val="single"/>
        </w:rPr>
        <w:t xml:space="preserve">        </w:t>
      </w:r>
      <w:r>
        <w:rPr>
          <w:rFonts w:hint="eastAsia" w:ascii="Times New Roman" w:hAnsi="Times New Roman"/>
          <w:snapToGrid w:val="0"/>
          <w:kern w:val="0"/>
        </w:rPr>
        <w:t>（参选人名称）任</w:t>
      </w:r>
      <w:r>
        <w:rPr>
          <w:rFonts w:hint="eastAsia" w:ascii="Times New Roman" w:hAnsi="Times New Roman"/>
          <w:snapToGrid w:val="0"/>
          <w:kern w:val="0"/>
          <w:u w:val="single"/>
        </w:rPr>
        <w:t xml:space="preserve">        </w:t>
      </w:r>
      <w:r>
        <w:rPr>
          <w:rFonts w:hint="eastAsia" w:ascii="Times New Roman" w:hAnsi="Times New Roman"/>
          <w:snapToGrid w:val="0"/>
          <w:kern w:val="0"/>
        </w:rPr>
        <w:t>（职务名称）职务，是（参</w:t>
      </w:r>
      <w:r>
        <w:rPr>
          <w:rFonts w:hint="eastAsia" w:ascii="Times New Roman" w:hAnsi="Times New Roman" w:cs="Cambria"/>
          <w:snapToGrid w:val="0"/>
          <w:kern w:val="0"/>
          <w:szCs w:val="24"/>
        </w:rPr>
        <w:t>选</w:t>
      </w:r>
      <w:r>
        <w:rPr>
          <w:rFonts w:hint="eastAsia" w:ascii="Times New Roman" w:hAnsi="Times New Roman"/>
          <w:snapToGrid w:val="0"/>
          <w:kern w:val="0"/>
        </w:rPr>
        <w:t>人名称）</w:t>
      </w:r>
      <w:r>
        <w:rPr>
          <w:rFonts w:hint="eastAsia" w:ascii="Times New Roman" w:hAnsi="Times New Roman"/>
          <w:snapToGrid w:val="0"/>
          <w:kern w:val="0"/>
          <w:u w:val="single"/>
        </w:rPr>
        <w:t xml:space="preserve">        </w:t>
      </w:r>
      <w:r>
        <w:rPr>
          <w:rFonts w:hint="eastAsia" w:ascii="Times New Roman" w:hAnsi="Times New Roman"/>
          <w:snapToGrid w:val="0"/>
          <w:kern w:val="0"/>
        </w:rPr>
        <w:t>的法定代表人。</w:t>
      </w:r>
    </w:p>
    <w:p w14:paraId="3A81B198">
      <w:pPr>
        <w:tabs>
          <w:tab w:val="left" w:pos="6300"/>
        </w:tabs>
        <w:snapToGrid w:val="0"/>
        <w:spacing w:line="360" w:lineRule="auto"/>
        <w:ind w:firstLine="480"/>
        <w:rPr>
          <w:rFonts w:ascii="Times New Roman" w:hAnsi="Times New Roman"/>
          <w:snapToGrid w:val="0"/>
          <w:kern w:val="0"/>
        </w:rPr>
      </w:pPr>
    </w:p>
    <w:p w14:paraId="72048CEB">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特此证明。</w:t>
      </w:r>
    </w:p>
    <w:p w14:paraId="731A50D1">
      <w:pPr>
        <w:tabs>
          <w:tab w:val="left" w:pos="6300"/>
        </w:tabs>
        <w:snapToGrid w:val="0"/>
        <w:spacing w:line="360" w:lineRule="auto"/>
        <w:ind w:firstLine="480"/>
        <w:rPr>
          <w:rFonts w:ascii="Times New Roman" w:hAnsi="Times New Roman"/>
          <w:snapToGrid w:val="0"/>
          <w:kern w:val="0"/>
        </w:rPr>
      </w:pPr>
    </w:p>
    <w:p w14:paraId="4596ADF0">
      <w:pPr>
        <w:tabs>
          <w:tab w:val="left" w:pos="6300"/>
        </w:tabs>
        <w:snapToGrid w:val="0"/>
        <w:spacing w:line="360" w:lineRule="auto"/>
        <w:ind w:firstLine="480"/>
        <w:rPr>
          <w:rFonts w:ascii="Times New Roman" w:hAnsi="Times New Roman"/>
          <w:snapToGrid w:val="0"/>
          <w:kern w:val="0"/>
        </w:rPr>
      </w:pPr>
    </w:p>
    <w:p w14:paraId="68731487">
      <w:pPr>
        <w:tabs>
          <w:tab w:val="left" w:pos="6300"/>
        </w:tabs>
        <w:snapToGrid w:val="0"/>
        <w:spacing w:line="360" w:lineRule="auto"/>
        <w:ind w:firstLine="6000" w:firstLineChars="2500"/>
        <w:rPr>
          <w:rFonts w:ascii="Times New Roman" w:hAnsi="Times New Roman"/>
          <w:snapToGrid w:val="0"/>
          <w:kern w:val="0"/>
        </w:rPr>
      </w:pPr>
      <w:r>
        <w:rPr>
          <w:rFonts w:hint="eastAsia" w:ascii="Times New Roman" w:hAnsi="Times New Roman"/>
          <w:snapToGrid w:val="0"/>
          <w:kern w:val="0"/>
        </w:rPr>
        <w:t>参选人：</w:t>
      </w:r>
    </w:p>
    <w:p w14:paraId="130B150A">
      <w:pPr>
        <w:tabs>
          <w:tab w:val="left" w:pos="6300"/>
        </w:tabs>
        <w:snapToGrid w:val="0"/>
        <w:spacing w:line="360" w:lineRule="auto"/>
        <w:ind w:firstLine="5760" w:firstLineChars="2400"/>
        <w:rPr>
          <w:rFonts w:ascii="Times New Roman" w:hAnsi="Times New Roman"/>
          <w:snapToGrid w:val="0"/>
          <w:kern w:val="0"/>
        </w:rPr>
      </w:pPr>
      <w:r>
        <w:rPr>
          <w:rFonts w:hint="eastAsia" w:ascii="Times New Roman" w:hAnsi="Times New Roman"/>
          <w:snapToGrid w:val="0"/>
          <w:kern w:val="0"/>
        </w:rPr>
        <w:t>（</w:t>
      </w:r>
      <w:r>
        <w:rPr>
          <w:rFonts w:hint="eastAsia" w:ascii="Times New Roman" w:hAnsi="Times New Roman" w:cs="Cambria"/>
          <w:snapToGrid w:val="0"/>
          <w:kern w:val="0"/>
          <w:szCs w:val="24"/>
        </w:rPr>
        <w:t>参选</w:t>
      </w:r>
      <w:r>
        <w:rPr>
          <w:rFonts w:hint="eastAsia" w:ascii="Times New Roman" w:hAnsi="Times New Roman"/>
          <w:snapToGrid w:val="0"/>
          <w:kern w:val="0"/>
        </w:rPr>
        <w:t>人公章）</w:t>
      </w:r>
    </w:p>
    <w:p w14:paraId="667B6A0E">
      <w:pPr>
        <w:tabs>
          <w:tab w:val="left" w:pos="6300"/>
        </w:tabs>
        <w:snapToGrid w:val="0"/>
        <w:spacing w:line="360" w:lineRule="auto"/>
        <w:ind w:firstLine="480"/>
        <w:rPr>
          <w:rFonts w:ascii="Times New Roman" w:hAnsi="Times New Roman"/>
          <w:snapToGrid w:val="0"/>
          <w:kern w:val="0"/>
        </w:rPr>
      </w:pPr>
    </w:p>
    <w:p w14:paraId="0F02C453">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 xml:space="preserve">                                             年   月   日</w:t>
      </w:r>
    </w:p>
    <w:p w14:paraId="0A987DCF">
      <w:pPr>
        <w:tabs>
          <w:tab w:val="left" w:pos="6300"/>
        </w:tabs>
        <w:snapToGrid w:val="0"/>
        <w:spacing w:line="360" w:lineRule="auto"/>
        <w:ind w:firstLine="480"/>
        <w:rPr>
          <w:rFonts w:ascii="Times New Roman" w:hAnsi="Times New Roman"/>
          <w:snapToGrid w:val="0"/>
          <w:kern w:val="0"/>
        </w:rPr>
      </w:pPr>
    </w:p>
    <w:p w14:paraId="5B59D3DC">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（附：法定代表人身份证正反面复印件）</w:t>
      </w:r>
    </w:p>
    <w:p w14:paraId="3267B9D1">
      <w:pPr>
        <w:tabs>
          <w:tab w:val="left" w:pos="6300"/>
        </w:tabs>
        <w:snapToGrid w:val="0"/>
        <w:spacing w:line="360" w:lineRule="auto"/>
        <w:ind w:firstLine="480"/>
        <w:rPr>
          <w:rFonts w:ascii="Times New Roman" w:hAnsi="Times New Roman"/>
          <w:snapToGrid w:val="0"/>
          <w:kern w:val="0"/>
        </w:rPr>
      </w:pPr>
    </w:p>
    <w:p w14:paraId="31757767">
      <w:pPr>
        <w:tabs>
          <w:tab w:val="left" w:pos="6300"/>
        </w:tabs>
        <w:snapToGrid w:val="0"/>
        <w:spacing w:line="360" w:lineRule="auto"/>
        <w:ind w:firstLine="480"/>
        <w:rPr>
          <w:rFonts w:ascii="Times New Roman" w:hAnsi="Times New Roman"/>
          <w:snapToGrid w:val="0"/>
          <w:kern w:val="0"/>
        </w:rPr>
      </w:pPr>
    </w:p>
    <w:p w14:paraId="18C9D754">
      <w:pPr>
        <w:tabs>
          <w:tab w:val="left" w:pos="6300"/>
        </w:tabs>
        <w:snapToGrid w:val="0"/>
        <w:spacing w:line="360" w:lineRule="auto"/>
        <w:ind w:firstLine="480"/>
        <w:rPr>
          <w:rFonts w:ascii="Times New Roman" w:hAnsi="Times New Roman"/>
          <w:snapToGrid w:val="0"/>
          <w:kern w:val="0"/>
        </w:rPr>
      </w:pPr>
    </w:p>
    <w:p w14:paraId="71DC1E00">
      <w:pPr>
        <w:ind w:firstLine="480"/>
        <w:jc w:val="center"/>
        <w:rPr>
          <w:rStyle w:val="29"/>
          <w:rFonts w:hint="default" w:ascii="Times New Roman" w:hAnsi="Times New Roman"/>
        </w:rPr>
      </w:pPr>
      <w:r>
        <w:rPr>
          <w:rFonts w:hint="eastAsia" w:ascii="Times New Roman" w:hAnsi="Times New Roman"/>
          <w:snapToGrid w:val="0"/>
          <w:kern w:val="0"/>
        </w:rPr>
        <w:br w:type="column"/>
      </w:r>
      <w:r>
        <w:rPr>
          <w:rStyle w:val="29"/>
          <w:rFonts w:hint="default" w:ascii="Times New Roman" w:hAnsi="Times New Roman"/>
        </w:rPr>
        <w:t>法定代表人授权委托书</w:t>
      </w:r>
    </w:p>
    <w:p w14:paraId="4C51088A">
      <w:pPr>
        <w:tabs>
          <w:tab w:val="left" w:pos="6300"/>
        </w:tabs>
        <w:snapToGrid w:val="0"/>
        <w:spacing w:line="360" w:lineRule="auto"/>
        <w:ind w:firstLine="480"/>
        <w:rPr>
          <w:rFonts w:ascii="Times New Roman" w:hAnsi="Times New Roman"/>
          <w:snapToGrid w:val="0"/>
          <w:kern w:val="0"/>
        </w:rPr>
      </w:pPr>
    </w:p>
    <w:p w14:paraId="6453B412">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szCs w:val="28"/>
        </w:rPr>
        <w:t>项目名称</w:t>
      </w:r>
      <w:r>
        <w:rPr>
          <w:rFonts w:hint="eastAsia" w:ascii="Times New Roman" w:hAnsi="Times New Roman"/>
          <w:snapToGrid w:val="0"/>
          <w:kern w:val="0"/>
        </w:rPr>
        <w:t>：</w:t>
      </w:r>
      <w:r>
        <w:rPr>
          <w:rFonts w:hint="eastAsia" w:ascii="Times New Roman" w:hAnsi="Times New Roman"/>
          <w:snapToGrid w:val="0"/>
          <w:kern w:val="0"/>
          <w:szCs w:val="24"/>
          <w:u w:val="single"/>
        </w:rPr>
        <w:t>___________________</w:t>
      </w:r>
    </w:p>
    <w:p w14:paraId="448483FD">
      <w:pPr>
        <w:tabs>
          <w:tab w:val="left" w:pos="6300"/>
        </w:tabs>
        <w:snapToGrid w:val="0"/>
        <w:spacing w:line="360" w:lineRule="auto"/>
        <w:ind w:firstLine="480"/>
        <w:rPr>
          <w:rFonts w:ascii="Times New Roman" w:hAnsi="Times New Roman"/>
          <w:snapToGrid w:val="0"/>
          <w:kern w:val="0"/>
        </w:rPr>
      </w:pPr>
    </w:p>
    <w:p w14:paraId="770B84E7">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致：</w:t>
      </w:r>
      <w:r>
        <w:rPr>
          <w:rFonts w:hint="eastAsia" w:ascii="Times New Roman" w:hAnsi="Times New Roman"/>
          <w:snapToGrid w:val="0"/>
          <w:kern w:val="0"/>
          <w:u w:val="single"/>
        </w:rPr>
        <w:t>重庆三峡银行股份有限公司</w:t>
      </w:r>
      <w:r>
        <w:rPr>
          <w:rFonts w:hint="eastAsia" w:ascii="Times New Roman" w:hAnsi="Times New Roman"/>
          <w:snapToGrid w:val="0"/>
          <w:kern w:val="0"/>
        </w:rPr>
        <w:t>：</w:t>
      </w:r>
    </w:p>
    <w:p w14:paraId="139CE3E6">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u w:val="single"/>
        </w:rPr>
        <w:t xml:space="preserve">        </w:t>
      </w:r>
      <w:r>
        <w:rPr>
          <w:rFonts w:hint="eastAsia" w:ascii="Times New Roman" w:hAnsi="Times New Roman"/>
          <w:snapToGrid w:val="0"/>
          <w:kern w:val="0"/>
        </w:rPr>
        <w:t>（</w:t>
      </w:r>
      <w:r>
        <w:rPr>
          <w:rFonts w:hint="eastAsia" w:ascii="Times New Roman" w:hAnsi="Times New Roman" w:cs="Cambria"/>
          <w:snapToGrid w:val="0"/>
          <w:kern w:val="0"/>
          <w:szCs w:val="24"/>
        </w:rPr>
        <w:t>参选</w:t>
      </w:r>
      <w:r>
        <w:rPr>
          <w:rFonts w:hint="eastAsia" w:ascii="Times New Roman" w:hAnsi="Times New Roman"/>
          <w:snapToGrid w:val="0"/>
          <w:kern w:val="0"/>
        </w:rPr>
        <w:t>人法定代表人名称）是</w:t>
      </w:r>
      <w:r>
        <w:rPr>
          <w:rFonts w:hint="eastAsia" w:ascii="Times New Roman" w:hAnsi="Times New Roman"/>
          <w:snapToGrid w:val="0"/>
          <w:kern w:val="0"/>
          <w:u w:val="single"/>
        </w:rPr>
        <w:t xml:space="preserve">        </w:t>
      </w:r>
      <w:r>
        <w:rPr>
          <w:rFonts w:hint="eastAsia" w:ascii="Times New Roman" w:hAnsi="Times New Roman"/>
          <w:snapToGrid w:val="0"/>
          <w:kern w:val="0"/>
        </w:rPr>
        <w:t>（</w:t>
      </w:r>
      <w:r>
        <w:rPr>
          <w:rFonts w:hint="eastAsia" w:ascii="Times New Roman" w:hAnsi="Times New Roman" w:cs="Cambria"/>
          <w:snapToGrid w:val="0"/>
          <w:kern w:val="0"/>
          <w:szCs w:val="24"/>
        </w:rPr>
        <w:t>参选</w:t>
      </w:r>
      <w:r>
        <w:rPr>
          <w:rFonts w:hint="eastAsia" w:ascii="Times New Roman" w:hAnsi="Times New Roman"/>
          <w:snapToGrid w:val="0"/>
          <w:kern w:val="0"/>
        </w:rPr>
        <w:t>人名称）的法定代表人，特授权</w:t>
      </w:r>
      <w:r>
        <w:rPr>
          <w:rFonts w:hint="eastAsia" w:ascii="Times New Roman" w:hAnsi="Times New Roman"/>
          <w:snapToGrid w:val="0"/>
          <w:kern w:val="0"/>
          <w:u w:val="single"/>
        </w:rPr>
        <w:t xml:space="preserve">        </w:t>
      </w:r>
      <w:r>
        <w:rPr>
          <w:rFonts w:hint="eastAsia" w:ascii="Times New Roman" w:hAnsi="Times New Roman"/>
          <w:snapToGrid w:val="0"/>
          <w:kern w:val="0"/>
        </w:rPr>
        <w:t>（</w:t>
      </w:r>
      <w:r>
        <w:rPr>
          <w:rFonts w:ascii="Times New Roman" w:hAnsi="Times New Roman"/>
          <w:snapToGrid w:val="0"/>
          <w:kern w:val="0"/>
        </w:rPr>
        <w:t>委托代理人</w:t>
      </w:r>
      <w:r>
        <w:rPr>
          <w:rFonts w:hint="eastAsia" w:ascii="Times New Roman" w:hAnsi="Times New Roman"/>
          <w:snapToGrid w:val="0"/>
          <w:kern w:val="0"/>
        </w:rPr>
        <w:t>姓名及身份证代码）代表我单位全权办理上述项目的</w:t>
      </w:r>
      <w:r>
        <w:rPr>
          <w:rFonts w:hint="eastAsia" w:ascii="Times New Roman" w:hAnsi="Times New Roman" w:cs="Cambria"/>
          <w:snapToGrid w:val="0"/>
          <w:kern w:val="0"/>
          <w:szCs w:val="24"/>
        </w:rPr>
        <w:t>参选</w:t>
      </w:r>
      <w:r>
        <w:rPr>
          <w:rFonts w:hint="eastAsia" w:ascii="Times New Roman" w:hAnsi="Times New Roman"/>
          <w:snapToGrid w:val="0"/>
          <w:kern w:val="0"/>
        </w:rPr>
        <w:t>、谈判、签约等具体工作，并签署全部有关文件、协议及合同。</w:t>
      </w:r>
    </w:p>
    <w:p w14:paraId="667E36A8">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我单位对</w:t>
      </w:r>
      <w:r>
        <w:rPr>
          <w:rFonts w:ascii="Times New Roman" w:hAnsi="Times New Roman"/>
          <w:snapToGrid w:val="0"/>
          <w:kern w:val="0"/>
        </w:rPr>
        <w:t>委托代理人</w:t>
      </w:r>
      <w:r>
        <w:rPr>
          <w:rFonts w:hint="eastAsia" w:ascii="Times New Roman" w:hAnsi="Times New Roman"/>
          <w:snapToGrid w:val="0"/>
          <w:kern w:val="0"/>
        </w:rPr>
        <w:t>的签字负全部责任。</w:t>
      </w:r>
    </w:p>
    <w:p w14:paraId="130809AD">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在撤销授权的书面通知以前，本授权书一直有效。</w:t>
      </w:r>
      <w:r>
        <w:rPr>
          <w:rFonts w:ascii="Times New Roman" w:hAnsi="Times New Roman"/>
          <w:snapToGrid w:val="0"/>
          <w:kern w:val="0"/>
        </w:rPr>
        <w:t>委托代理人</w:t>
      </w:r>
      <w:r>
        <w:rPr>
          <w:rFonts w:hint="eastAsia" w:ascii="Times New Roman" w:hAnsi="Times New Roman"/>
          <w:snapToGrid w:val="0"/>
          <w:kern w:val="0"/>
        </w:rPr>
        <w:t>在授权书有效期内签署的所有文件不因授权的撤销而失效。</w:t>
      </w:r>
    </w:p>
    <w:p w14:paraId="53FBECA4">
      <w:pPr>
        <w:tabs>
          <w:tab w:val="left" w:pos="6300"/>
        </w:tabs>
        <w:snapToGrid w:val="0"/>
        <w:spacing w:line="360" w:lineRule="auto"/>
        <w:ind w:firstLine="480"/>
        <w:rPr>
          <w:rFonts w:ascii="Times New Roman" w:hAnsi="Times New Roman"/>
          <w:snapToGrid w:val="0"/>
          <w:kern w:val="0"/>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E9FB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tcPr>
          <w:p w14:paraId="6E1F6EAF">
            <w:pPr>
              <w:tabs>
                <w:tab w:val="left" w:pos="6300"/>
              </w:tabs>
              <w:snapToGrid w:val="0"/>
              <w:spacing w:line="360" w:lineRule="auto"/>
              <w:ind w:firstLine="0" w:firstLineChars="0"/>
              <w:rPr>
                <w:rFonts w:ascii="Times New Roman" w:hAnsi="Times New Roman"/>
                <w:snapToGrid w:val="0"/>
                <w:kern w:val="0"/>
              </w:rPr>
            </w:pPr>
            <w:r>
              <w:rPr>
                <w:rFonts w:ascii="Times New Roman" w:hAnsi="Times New Roman"/>
                <w:snapToGrid w:val="0"/>
                <w:kern w:val="0"/>
              </w:rPr>
              <w:t>委托代理人</w:t>
            </w:r>
          </w:p>
        </w:tc>
        <w:tc>
          <w:tcPr>
            <w:tcW w:w="4261" w:type="dxa"/>
            <w:tcBorders>
              <w:top w:val="nil"/>
              <w:left w:val="nil"/>
              <w:bottom w:val="nil"/>
              <w:right w:val="nil"/>
            </w:tcBorders>
          </w:tcPr>
          <w:p w14:paraId="2113B62D">
            <w:pPr>
              <w:tabs>
                <w:tab w:val="left" w:pos="6300"/>
              </w:tabs>
              <w:snapToGrid w:val="0"/>
              <w:spacing w:line="360" w:lineRule="auto"/>
              <w:ind w:firstLine="0" w:firstLineChars="0"/>
              <w:rPr>
                <w:rFonts w:ascii="Times New Roman" w:hAnsi="Times New Roman"/>
                <w:snapToGrid w:val="0"/>
                <w:kern w:val="0"/>
              </w:rPr>
            </w:pPr>
            <w:r>
              <w:rPr>
                <w:rFonts w:hint="eastAsia" w:ascii="Times New Roman" w:hAnsi="Times New Roman" w:cs="Cambria"/>
                <w:snapToGrid w:val="0"/>
                <w:kern w:val="0"/>
                <w:szCs w:val="24"/>
              </w:rPr>
              <w:t>参选</w:t>
            </w:r>
            <w:r>
              <w:rPr>
                <w:rFonts w:hint="eastAsia" w:ascii="Times New Roman" w:hAnsi="Times New Roman"/>
                <w:snapToGrid w:val="0"/>
                <w:kern w:val="0"/>
              </w:rPr>
              <w:t>人法定代表人名称：</w:t>
            </w:r>
          </w:p>
        </w:tc>
      </w:tr>
      <w:tr w14:paraId="72CB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tcPr>
          <w:p w14:paraId="2263D817">
            <w:pPr>
              <w:tabs>
                <w:tab w:val="left" w:pos="6300"/>
              </w:tabs>
              <w:snapToGrid w:val="0"/>
              <w:spacing w:line="360" w:lineRule="auto"/>
              <w:ind w:firstLine="0" w:firstLineChars="0"/>
              <w:rPr>
                <w:rFonts w:ascii="Times New Roman" w:hAnsi="Times New Roman"/>
                <w:snapToGrid w:val="0"/>
                <w:kern w:val="0"/>
              </w:rPr>
            </w:pPr>
            <w:r>
              <w:rPr>
                <w:rFonts w:hint="eastAsia" w:ascii="Times New Roman" w:hAnsi="Times New Roman"/>
                <w:snapToGrid w:val="0"/>
                <w:kern w:val="0"/>
                <w:szCs w:val="28"/>
              </w:rPr>
              <w:t>（签字或盖章）</w:t>
            </w:r>
          </w:p>
        </w:tc>
        <w:tc>
          <w:tcPr>
            <w:tcW w:w="4261" w:type="dxa"/>
            <w:tcBorders>
              <w:top w:val="nil"/>
              <w:left w:val="nil"/>
              <w:bottom w:val="nil"/>
              <w:right w:val="nil"/>
            </w:tcBorders>
          </w:tcPr>
          <w:p w14:paraId="2B301E7E">
            <w:pPr>
              <w:tabs>
                <w:tab w:val="left" w:pos="6300"/>
              </w:tabs>
              <w:snapToGrid w:val="0"/>
              <w:spacing w:line="360" w:lineRule="auto"/>
              <w:ind w:firstLine="0" w:firstLineChars="0"/>
              <w:rPr>
                <w:rFonts w:ascii="Times New Roman" w:hAnsi="Times New Roman"/>
                <w:snapToGrid w:val="0"/>
                <w:kern w:val="0"/>
              </w:rPr>
            </w:pPr>
            <w:r>
              <w:rPr>
                <w:rFonts w:hint="eastAsia" w:ascii="Times New Roman" w:hAnsi="Times New Roman"/>
                <w:snapToGrid w:val="0"/>
                <w:kern w:val="0"/>
                <w:szCs w:val="28"/>
              </w:rPr>
              <w:t>（签字或盖章）</w:t>
            </w:r>
          </w:p>
        </w:tc>
      </w:tr>
    </w:tbl>
    <w:p w14:paraId="25C4F592">
      <w:pPr>
        <w:tabs>
          <w:tab w:val="left" w:pos="6300"/>
        </w:tabs>
        <w:snapToGrid w:val="0"/>
        <w:spacing w:line="360" w:lineRule="auto"/>
        <w:ind w:firstLine="480"/>
        <w:rPr>
          <w:rFonts w:ascii="Times New Roman" w:hAnsi="Times New Roman"/>
          <w:snapToGrid w:val="0"/>
          <w:kern w:val="0"/>
        </w:rPr>
      </w:pPr>
    </w:p>
    <w:p w14:paraId="092C9371">
      <w:pPr>
        <w:tabs>
          <w:tab w:val="left" w:pos="6300"/>
        </w:tabs>
        <w:snapToGrid w:val="0"/>
        <w:spacing w:line="360" w:lineRule="auto"/>
        <w:ind w:firstLine="480"/>
        <w:rPr>
          <w:rFonts w:ascii="Times New Roman" w:hAnsi="Times New Roman"/>
          <w:snapToGrid w:val="0"/>
          <w:kern w:val="0"/>
          <w:szCs w:val="28"/>
        </w:rPr>
      </w:pPr>
    </w:p>
    <w:p w14:paraId="58B3B749">
      <w:pPr>
        <w:tabs>
          <w:tab w:val="left" w:pos="6300"/>
        </w:tabs>
        <w:snapToGrid w:val="0"/>
        <w:spacing w:line="360" w:lineRule="auto"/>
        <w:ind w:firstLine="480"/>
        <w:rPr>
          <w:rFonts w:ascii="Times New Roman" w:hAnsi="Times New Roman"/>
          <w:snapToGrid w:val="0"/>
          <w:kern w:val="0"/>
        </w:rPr>
      </w:pPr>
    </w:p>
    <w:p w14:paraId="3E817FAC">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（附：</w:t>
      </w:r>
      <w:r>
        <w:rPr>
          <w:rFonts w:ascii="Times New Roman" w:hAnsi="Times New Roman"/>
          <w:snapToGrid w:val="0"/>
          <w:kern w:val="0"/>
        </w:rPr>
        <w:t>委托代理人</w:t>
      </w:r>
      <w:r>
        <w:rPr>
          <w:rFonts w:hint="eastAsia" w:ascii="Times New Roman" w:hAnsi="Times New Roman"/>
          <w:snapToGrid w:val="0"/>
          <w:kern w:val="0"/>
        </w:rPr>
        <w:t>身份证正反面复印件）</w:t>
      </w:r>
    </w:p>
    <w:p w14:paraId="44835DDC">
      <w:pPr>
        <w:tabs>
          <w:tab w:val="left" w:pos="6300"/>
        </w:tabs>
        <w:snapToGrid w:val="0"/>
        <w:spacing w:line="360" w:lineRule="auto"/>
        <w:ind w:firstLine="480"/>
        <w:rPr>
          <w:rFonts w:ascii="Times New Roman" w:hAnsi="Times New Roman"/>
          <w:snapToGrid w:val="0"/>
          <w:kern w:val="0"/>
        </w:rPr>
      </w:pPr>
    </w:p>
    <w:p w14:paraId="0F91B9F7">
      <w:pPr>
        <w:tabs>
          <w:tab w:val="left" w:pos="6300"/>
        </w:tabs>
        <w:snapToGrid w:val="0"/>
        <w:spacing w:line="360" w:lineRule="auto"/>
        <w:ind w:firstLine="480"/>
        <w:rPr>
          <w:rFonts w:ascii="Times New Roman" w:hAnsi="Times New Roman"/>
          <w:snapToGrid w:val="0"/>
          <w:kern w:val="0"/>
        </w:rPr>
      </w:pPr>
    </w:p>
    <w:p w14:paraId="244CEFD3">
      <w:pPr>
        <w:tabs>
          <w:tab w:val="left" w:pos="6300"/>
        </w:tabs>
        <w:snapToGrid w:val="0"/>
        <w:spacing w:line="360" w:lineRule="auto"/>
        <w:ind w:right="480" w:firstLine="480"/>
        <w:jc w:val="right"/>
        <w:rPr>
          <w:rFonts w:ascii="Times New Roman" w:hAnsi="Times New Roman"/>
          <w:snapToGrid w:val="0"/>
          <w:kern w:val="0"/>
        </w:rPr>
      </w:pPr>
      <w:r>
        <w:rPr>
          <w:rFonts w:hint="eastAsia" w:ascii="Times New Roman" w:hAnsi="Times New Roman"/>
          <w:snapToGrid w:val="0"/>
          <w:kern w:val="0"/>
        </w:rPr>
        <w:t>（</w:t>
      </w:r>
      <w:r>
        <w:rPr>
          <w:rFonts w:hint="eastAsia" w:ascii="Times New Roman" w:hAnsi="Times New Roman" w:cs="Cambria"/>
          <w:snapToGrid w:val="0"/>
          <w:kern w:val="0"/>
          <w:szCs w:val="24"/>
        </w:rPr>
        <w:t>参选</w:t>
      </w:r>
      <w:r>
        <w:rPr>
          <w:rFonts w:hint="eastAsia" w:ascii="Times New Roman" w:hAnsi="Times New Roman"/>
          <w:snapToGrid w:val="0"/>
          <w:kern w:val="0"/>
        </w:rPr>
        <w:t>人公章）</w:t>
      </w:r>
    </w:p>
    <w:p w14:paraId="3F26D30A">
      <w:pPr>
        <w:tabs>
          <w:tab w:val="left" w:pos="6300"/>
        </w:tabs>
        <w:snapToGrid w:val="0"/>
        <w:spacing w:line="360" w:lineRule="auto"/>
        <w:ind w:right="480" w:firstLine="480"/>
        <w:jc w:val="right"/>
        <w:rPr>
          <w:rFonts w:ascii="Times New Roman" w:hAnsi="Times New Roman"/>
          <w:snapToGrid w:val="0"/>
          <w:kern w:val="0"/>
        </w:rPr>
      </w:pPr>
      <w:r>
        <w:rPr>
          <w:rFonts w:hint="eastAsia" w:ascii="Times New Roman" w:hAnsi="Times New Roman"/>
          <w:snapToGrid w:val="0"/>
          <w:kern w:val="0"/>
        </w:rPr>
        <w:t>年   月   日</w:t>
      </w:r>
    </w:p>
    <w:p w14:paraId="405CD5EA">
      <w:pPr>
        <w:tabs>
          <w:tab w:val="left" w:pos="6300"/>
        </w:tabs>
        <w:snapToGrid w:val="0"/>
        <w:spacing w:line="360" w:lineRule="auto"/>
        <w:ind w:firstLine="480"/>
        <w:rPr>
          <w:rFonts w:ascii="Times New Roman" w:hAnsi="Times New Roman"/>
          <w:snapToGrid w:val="0"/>
          <w:kern w:val="0"/>
        </w:rPr>
      </w:pPr>
    </w:p>
    <w:p w14:paraId="60ECF12D">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注：若为法定代表人办理并签署参选文件的，不提供此文件。</w:t>
      </w:r>
    </w:p>
    <w:p w14:paraId="47E2829E">
      <w:pPr>
        <w:ind w:firstLine="480"/>
        <w:rPr>
          <w:rFonts w:ascii="Times New Roman" w:hAnsi="Times New Roman"/>
        </w:rPr>
      </w:pPr>
    </w:p>
    <w:p w14:paraId="3BC44985">
      <w:pPr>
        <w:ind w:firstLine="480"/>
        <w:rPr>
          <w:rFonts w:ascii="Times New Roman" w:hAnsi="Times New Roman"/>
        </w:rPr>
        <w:sectPr>
          <w:pgSz w:w="11906" w:h="16838"/>
          <w:pgMar w:top="1440" w:right="1800" w:bottom="1440" w:left="1800" w:header="851" w:footer="992" w:gutter="0"/>
          <w:pgNumType w:fmt="decimal"/>
          <w:cols w:space="720" w:num="1"/>
          <w:docGrid w:type="lines" w:linePitch="312" w:charSpace="0"/>
        </w:sectPr>
      </w:pPr>
    </w:p>
    <w:bookmarkEnd w:id="98"/>
    <w:bookmarkEnd w:id="99"/>
    <w:bookmarkEnd w:id="100"/>
    <w:bookmarkEnd w:id="101"/>
    <w:bookmarkEnd w:id="102"/>
    <w:p w14:paraId="002A0F47">
      <w:pPr>
        <w:pStyle w:val="27"/>
        <w:rPr>
          <w:rFonts w:hint="eastAsia"/>
        </w:rPr>
      </w:pPr>
      <w:r>
        <w:rPr>
          <w:rFonts w:hint="eastAsia"/>
        </w:rPr>
        <w:t>（三）书面声明</w:t>
      </w:r>
    </w:p>
    <w:p w14:paraId="09E7ACCE">
      <w:pPr>
        <w:tabs>
          <w:tab w:val="left" w:pos="6300"/>
        </w:tabs>
        <w:snapToGrid w:val="0"/>
        <w:spacing w:line="360" w:lineRule="auto"/>
        <w:ind w:firstLine="480"/>
        <w:rPr>
          <w:rFonts w:hint="eastAsia" w:ascii="宋体"/>
        </w:rPr>
      </w:pPr>
    </w:p>
    <w:p w14:paraId="10411339">
      <w:pPr>
        <w:tabs>
          <w:tab w:val="left" w:pos="6300"/>
        </w:tabs>
        <w:snapToGrid w:val="0"/>
        <w:spacing w:line="360" w:lineRule="auto"/>
        <w:ind w:firstLine="480"/>
        <w:rPr>
          <w:rFonts w:hint="eastAsia" w:ascii="宋体"/>
        </w:rPr>
      </w:pPr>
      <w:r>
        <w:rPr>
          <w:rFonts w:hint="eastAsia" w:ascii="宋体"/>
          <w:szCs w:val="28"/>
        </w:rPr>
        <w:t>项目名称</w:t>
      </w:r>
      <w:r>
        <w:rPr>
          <w:rFonts w:hint="eastAsia" w:ascii="宋体"/>
        </w:rPr>
        <w:t>：</w:t>
      </w:r>
      <w:r>
        <w:rPr>
          <w:rFonts w:hint="eastAsia" w:ascii="宋体"/>
          <w:snapToGrid w:val="0"/>
          <w:kern w:val="0"/>
          <w:szCs w:val="24"/>
          <w:u w:val="single"/>
        </w:rPr>
        <w:t>__________________</w:t>
      </w:r>
    </w:p>
    <w:p w14:paraId="1C68633C">
      <w:pPr>
        <w:tabs>
          <w:tab w:val="left" w:pos="6300"/>
        </w:tabs>
        <w:snapToGrid w:val="0"/>
        <w:spacing w:line="360" w:lineRule="auto"/>
        <w:ind w:firstLine="480"/>
        <w:rPr>
          <w:rFonts w:hint="eastAsia" w:ascii="宋体"/>
        </w:rPr>
      </w:pPr>
    </w:p>
    <w:p w14:paraId="56ACEBE7">
      <w:pPr>
        <w:tabs>
          <w:tab w:val="left" w:pos="6300"/>
        </w:tabs>
        <w:snapToGrid w:val="0"/>
        <w:spacing w:line="360" w:lineRule="auto"/>
        <w:ind w:firstLine="480"/>
        <w:rPr>
          <w:rFonts w:hint="eastAsia" w:ascii="宋体"/>
        </w:rPr>
      </w:pPr>
      <w:r>
        <w:rPr>
          <w:rFonts w:hint="eastAsia" w:ascii="宋体"/>
        </w:rPr>
        <w:t>致：</w:t>
      </w:r>
      <w:r>
        <w:rPr>
          <w:rFonts w:hint="eastAsia" w:ascii="宋体"/>
          <w:snapToGrid w:val="0"/>
          <w:kern w:val="0"/>
          <w:u w:val="single"/>
        </w:rPr>
        <w:t>重庆三峡银行股份有限公司</w:t>
      </w:r>
      <w:r>
        <w:rPr>
          <w:rFonts w:hint="eastAsia" w:ascii="宋体"/>
        </w:rPr>
        <w:t>：</w:t>
      </w:r>
    </w:p>
    <w:p w14:paraId="782B0290">
      <w:pPr>
        <w:tabs>
          <w:tab w:val="left" w:pos="6300"/>
        </w:tabs>
        <w:snapToGrid w:val="0"/>
        <w:spacing w:line="360" w:lineRule="auto"/>
        <w:ind w:firstLine="480"/>
        <w:rPr>
          <w:rFonts w:hint="eastAsia" w:ascii="宋体"/>
        </w:rPr>
      </w:pPr>
      <w:r>
        <w:rPr>
          <w:rFonts w:hint="eastAsia" w:ascii="宋体"/>
        </w:rPr>
        <w:t>（</w:t>
      </w:r>
      <w:r>
        <w:rPr>
          <w:rFonts w:hint="eastAsia" w:ascii="宋体" w:cs="等线 Light"/>
          <w:snapToGrid w:val="0"/>
          <w:kern w:val="0"/>
          <w:szCs w:val="24"/>
        </w:rPr>
        <w:t>参选</w:t>
      </w:r>
      <w:r>
        <w:rPr>
          <w:rFonts w:hint="eastAsia" w:ascii="宋体"/>
        </w:rPr>
        <w:t>人名称）郑重声明，我公司具有良好的商业信誉和健全的财务会计制度，具有履行合同所必需的设备和专业技术能力，具有依法缴纳税收和社会保障金的良好记录，在合同签订前后随时愿意提供相关证明材料；我公司还同时声明参加本项目比选活动前三年内无重大违法活动记录，符合法律法规规定的</w:t>
      </w:r>
      <w:r>
        <w:rPr>
          <w:rFonts w:hint="eastAsia" w:ascii="宋体" w:cs="等线 Light"/>
          <w:snapToGrid w:val="0"/>
          <w:kern w:val="0"/>
          <w:szCs w:val="24"/>
        </w:rPr>
        <w:t>参选</w:t>
      </w:r>
      <w:r>
        <w:rPr>
          <w:rFonts w:hint="eastAsia" w:ascii="宋体"/>
        </w:rPr>
        <w:t>人资格条件，且</w:t>
      </w:r>
      <w:r>
        <w:rPr>
          <w:rFonts w:hint="eastAsia"/>
        </w:rPr>
        <w:t>具有良好的业绩，稳定的员工队伍，和在广告服务方面享有良好的信誉</w:t>
      </w:r>
      <w:r>
        <w:rPr>
          <w:rFonts w:hint="eastAsia" w:ascii="宋体"/>
        </w:rPr>
        <w:t>；</w:t>
      </w:r>
      <w:r>
        <w:rPr>
          <w:rFonts w:hint="eastAsia" w:ascii="宋体" w:hAnsi="宋体" w:cs="Cambria"/>
          <w:szCs w:val="24"/>
        </w:rPr>
        <w:t>我公司本次如若中选，中选后不会对项目进行转包</w:t>
      </w:r>
      <w:r>
        <w:rPr>
          <w:rFonts w:hint="eastAsia" w:ascii="宋体"/>
        </w:rPr>
        <w:t>。我方对以上声明负全部法律责任。</w:t>
      </w:r>
    </w:p>
    <w:p w14:paraId="3A1AC72C">
      <w:pPr>
        <w:tabs>
          <w:tab w:val="left" w:pos="6300"/>
        </w:tabs>
        <w:snapToGrid w:val="0"/>
        <w:spacing w:line="360" w:lineRule="auto"/>
        <w:ind w:firstLine="480"/>
        <w:rPr>
          <w:rFonts w:hint="eastAsia" w:ascii="宋体"/>
        </w:rPr>
      </w:pPr>
      <w:r>
        <w:rPr>
          <w:rFonts w:hint="eastAsia" w:ascii="宋体"/>
        </w:rPr>
        <w:t>特此声明。</w:t>
      </w:r>
    </w:p>
    <w:p w14:paraId="2AC240BB">
      <w:pPr>
        <w:tabs>
          <w:tab w:val="left" w:pos="6300"/>
        </w:tabs>
        <w:snapToGrid w:val="0"/>
        <w:spacing w:line="360" w:lineRule="auto"/>
        <w:ind w:firstLine="480"/>
        <w:rPr>
          <w:rFonts w:hint="eastAsia" w:ascii="宋体"/>
        </w:rPr>
      </w:pPr>
    </w:p>
    <w:p w14:paraId="2486AD14">
      <w:pPr>
        <w:tabs>
          <w:tab w:val="left" w:pos="6300"/>
        </w:tabs>
        <w:snapToGrid w:val="0"/>
        <w:spacing w:line="360" w:lineRule="auto"/>
        <w:ind w:firstLine="480"/>
        <w:rPr>
          <w:rFonts w:hint="eastAsia" w:ascii="宋体"/>
        </w:rPr>
      </w:pPr>
    </w:p>
    <w:p w14:paraId="78024FEF">
      <w:pPr>
        <w:tabs>
          <w:tab w:val="left" w:pos="6300"/>
        </w:tabs>
        <w:snapToGrid w:val="0"/>
        <w:spacing w:line="360" w:lineRule="auto"/>
        <w:ind w:firstLine="480"/>
        <w:rPr>
          <w:rFonts w:hint="eastAsia" w:ascii="宋体"/>
        </w:rPr>
      </w:pPr>
    </w:p>
    <w:p w14:paraId="447CF176">
      <w:pPr>
        <w:tabs>
          <w:tab w:val="left" w:pos="6300"/>
        </w:tabs>
        <w:snapToGrid w:val="0"/>
        <w:spacing w:line="360" w:lineRule="auto"/>
        <w:ind w:right="424" w:firstLine="480"/>
        <w:jc w:val="right"/>
        <w:rPr>
          <w:rFonts w:hint="eastAsia" w:ascii="宋体"/>
        </w:rPr>
      </w:pPr>
      <w:r>
        <w:rPr>
          <w:rFonts w:hint="eastAsia" w:ascii="宋体"/>
        </w:rPr>
        <w:t>（</w:t>
      </w:r>
      <w:r>
        <w:rPr>
          <w:rFonts w:hint="eastAsia" w:ascii="宋体" w:cs="等线 Light"/>
          <w:snapToGrid w:val="0"/>
          <w:kern w:val="0"/>
          <w:szCs w:val="24"/>
        </w:rPr>
        <w:t>参选</w:t>
      </w:r>
      <w:r>
        <w:rPr>
          <w:rFonts w:hint="eastAsia" w:ascii="宋体"/>
        </w:rPr>
        <w:t>人公章）</w:t>
      </w:r>
    </w:p>
    <w:p w14:paraId="5F391595">
      <w:pPr>
        <w:tabs>
          <w:tab w:val="left" w:pos="6300"/>
        </w:tabs>
        <w:snapToGrid w:val="0"/>
        <w:spacing w:line="360" w:lineRule="auto"/>
        <w:ind w:right="480" w:firstLine="480"/>
        <w:jc w:val="right"/>
        <w:rPr>
          <w:rFonts w:hint="eastAsia" w:ascii="宋体"/>
        </w:rPr>
      </w:pPr>
      <w:r>
        <w:rPr>
          <w:rFonts w:hint="eastAsia" w:ascii="宋体"/>
        </w:rPr>
        <w:t>年   月   日</w:t>
      </w:r>
    </w:p>
    <w:p w14:paraId="78199A97">
      <w:pPr>
        <w:spacing w:line="360" w:lineRule="auto"/>
        <w:ind w:firstLine="480"/>
        <w:jc w:val="left"/>
        <w:rPr>
          <w:rFonts w:hint="eastAsia" w:ascii="宋体" w:cs="等线 Light"/>
          <w:snapToGrid w:val="0"/>
          <w:kern w:val="0"/>
          <w:szCs w:val="24"/>
        </w:rPr>
      </w:pPr>
    </w:p>
    <w:p w14:paraId="4B91397B">
      <w:pPr>
        <w:spacing w:line="360" w:lineRule="auto"/>
        <w:ind w:firstLine="480"/>
        <w:jc w:val="left"/>
        <w:rPr>
          <w:rFonts w:hint="eastAsia" w:ascii="宋体" w:cs="等线 Light"/>
          <w:snapToGrid w:val="0"/>
          <w:kern w:val="0"/>
          <w:szCs w:val="24"/>
        </w:rPr>
      </w:pPr>
    </w:p>
    <w:p w14:paraId="58C93EED">
      <w:pPr>
        <w:spacing w:line="360" w:lineRule="auto"/>
        <w:ind w:firstLine="480"/>
        <w:jc w:val="left"/>
        <w:rPr>
          <w:rFonts w:hint="eastAsia" w:ascii="宋体" w:cs="等线 Light"/>
          <w:snapToGrid w:val="0"/>
          <w:kern w:val="0"/>
          <w:szCs w:val="24"/>
        </w:rPr>
      </w:pPr>
    </w:p>
    <w:p w14:paraId="741B2717">
      <w:pPr>
        <w:spacing w:line="360" w:lineRule="auto"/>
        <w:ind w:firstLine="480"/>
        <w:jc w:val="left"/>
        <w:rPr>
          <w:rFonts w:hint="eastAsia" w:ascii="宋体" w:cs="等线 Light"/>
          <w:snapToGrid w:val="0"/>
          <w:kern w:val="0"/>
          <w:szCs w:val="24"/>
        </w:rPr>
      </w:pPr>
    </w:p>
    <w:p w14:paraId="1270CA22">
      <w:pPr>
        <w:spacing w:line="360" w:lineRule="auto"/>
        <w:ind w:firstLine="480"/>
        <w:jc w:val="left"/>
        <w:rPr>
          <w:rFonts w:hint="eastAsia" w:ascii="宋体" w:cs="等线 Light"/>
          <w:snapToGrid w:val="0"/>
          <w:kern w:val="0"/>
          <w:szCs w:val="24"/>
        </w:rPr>
      </w:pPr>
    </w:p>
    <w:p w14:paraId="5C0F0FC5">
      <w:pPr>
        <w:spacing w:line="360" w:lineRule="auto"/>
        <w:ind w:firstLine="480"/>
        <w:jc w:val="left"/>
        <w:rPr>
          <w:rFonts w:hint="eastAsia" w:ascii="宋体" w:cs="等线 Light"/>
          <w:snapToGrid w:val="0"/>
          <w:kern w:val="0"/>
          <w:szCs w:val="24"/>
        </w:rPr>
      </w:pPr>
    </w:p>
    <w:p w14:paraId="4AB32658">
      <w:pPr>
        <w:ind w:firstLine="480"/>
        <w:rPr>
          <w:rFonts w:hint="eastAsia"/>
          <w:b/>
          <w:bCs/>
        </w:rPr>
      </w:pPr>
      <w:r>
        <w:rPr>
          <w:rFonts w:hint="eastAsia"/>
          <w:kern w:val="0"/>
        </w:rPr>
        <w:br w:type="page"/>
      </w:r>
    </w:p>
    <w:p w14:paraId="7EDFB902">
      <w:pPr>
        <w:pStyle w:val="27"/>
        <w:rPr>
          <w:rFonts w:hint="eastAsia"/>
        </w:rPr>
      </w:pPr>
      <w:r>
        <w:t>（</w:t>
      </w:r>
      <w:r>
        <w:rPr>
          <w:rFonts w:hint="eastAsia"/>
        </w:rPr>
        <w:t>四</w:t>
      </w:r>
      <w:r>
        <w:t>）中国执行信息公开网截图</w:t>
      </w:r>
    </w:p>
    <w:p w14:paraId="62FE7AA5">
      <w:pPr>
        <w:ind w:firstLine="480"/>
        <w:rPr>
          <w:rFonts w:ascii="Times New Roman" w:hAnsi="Times New Roman"/>
        </w:rPr>
      </w:pPr>
      <w:r>
        <w:rPr>
          <w:rFonts w:hint="eastAsia" w:ascii="Times New Roman" w:hAnsi="Times New Roman"/>
        </w:rPr>
        <w:t>1.法人</w:t>
      </w:r>
      <w:r>
        <w:rPr>
          <w:rFonts w:ascii="Times New Roman" w:hAnsi="Times New Roman"/>
        </w:rPr>
        <w:t>中国执行信息公开网截图</w:t>
      </w:r>
    </w:p>
    <w:p w14:paraId="4D5FBD61">
      <w:pPr>
        <w:ind w:firstLine="480"/>
        <w:rPr>
          <w:rFonts w:ascii="Times New Roman" w:hAnsi="Times New Roman"/>
        </w:rPr>
      </w:pPr>
      <w:r>
        <w:rPr>
          <w:rFonts w:hint="eastAsia" w:ascii="Times New Roman" w:hAnsi="Times New Roman"/>
        </w:rPr>
        <w:t>2.法定代表人</w:t>
      </w:r>
      <w:r>
        <w:rPr>
          <w:rFonts w:ascii="Times New Roman" w:hAnsi="Times New Roman"/>
        </w:rPr>
        <w:t>中国执行信息公开网截图</w:t>
      </w:r>
    </w:p>
    <w:p w14:paraId="0B7F5AB9">
      <w:pPr>
        <w:ind w:firstLine="480"/>
        <w:rPr>
          <w:rFonts w:hint="eastAsia"/>
        </w:rPr>
      </w:pPr>
    </w:p>
    <w:p w14:paraId="7A8EAD9E">
      <w:pPr>
        <w:ind w:firstLine="480"/>
        <w:rPr>
          <w:rFonts w:hint="eastAsia"/>
        </w:rPr>
      </w:pPr>
    </w:p>
    <w:p w14:paraId="76565735">
      <w:pPr>
        <w:ind w:firstLine="480"/>
        <w:rPr>
          <w:rFonts w:hint="eastAsia"/>
        </w:rPr>
      </w:pPr>
    </w:p>
    <w:p w14:paraId="2B597FBD">
      <w:pPr>
        <w:ind w:firstLine="480"/>
        <w:rPr>
          <w:rFonts w:hint="eastAsia"/>
        </w:rPr>
      </w:pPr>
    </w:p>
    <w:p w14:paraId="444909F6">
      <w:pPr>
        <w:ind w:firstLine="480"/>
        <w:rPr>
          <w:rFonts w:hint="eastAsia"/>
        </w:rPr>
      </w:pPr>
    </w:p>
    <w:p w14:paraId="0262D4FB">
      <w:pPr>
        <w:ind w:firstLine="480"/>
        <w:rPr>
          <w:rFonts w:hint="eastAsia"/>
        </w:rPr>
      </w:pPr>
      <w:r>
        <w:rPr>
          <w:rFonts w:hint="eastAsia"/>
        </w:rPr>
        <w:br w:type="page"/>
      </w:r>
    </w:p>
    <w:p w14:paraId="28FB5547">
      <w:pPr>
        <w:pStyle w:val="27"/>
        <w:rPr>
          <w:rFonts w:hint="eastAsia"/>
        </w:rPr>
      </w:pPr>
      <w:r>
        <w:rPr>
          <w:rFonts w:hint="eastAsia"/>
          <w:lang w:val="zh-CN"/>
        </w:rPr>
        <w:t>（</w:t>
      </w:r>
      <w:r>
        <w:rPr>
          <w:rFonts w:hint="eastAsia"/>
        </w:rPr>
        <w:t>五</w:t>
      </w:r>
      <w:r>
        <w:rPr>
          <w:rFonts w:hint="eastAsia"/>
          <w:lang w:val="zh-CN"/>
        </w:rPr>
        <w:t>）广告牌经营权证明</w:t>
      </w:r>
    </w:p>
    <w:p w14:paraId="5579D92A">
      <w:pPr>
        <w:ind w:firstLine="480"/>
        <w:rPr>
          <w:rFonts w:hint="eastAsia"/>
          <w:lang w:val="zh-CN"/>
        </w:rPr>
      </w:pPr>
    </w:p>
    <w:p w14:paraId="6D181FD4">
      <w:pPr>
        <w:ind w:firstLine="480"/>
        <w:rPr>
          <w:rFonts w:hint="eastAsia"/>
          <w:lang w:val="zh-CN"/>
        </w:rPr>
      </w:pPr>
    </w:p>
    <w:p w14:paraId="130658F3">
      <w:pPr>
        <w:ind w:firstLine="480"/>
        <w:rPr>
          <w:rFonts w:hint="eastAsia"/>
          <w:lang w:val="zh-CN"/>
        </w:rPr>
        <w:sectPr>
          <w:pgSz w:w="11906" w:h="16838"/>
          <w:pgMar w:top="1440" w:right="1800" w:bottom="1440" w:left="1800" w:header="851" w:footer="992" w:gutter="0"/>
          <w:pgNumType w:fmt="decimal"/>
          <w:cols w:space="720" w:num="1"/>
          <w:docGrid w:type="lines" w:linePitch="312" w:charSpace="0"/>
        </w:sectPr>
      </w:pPr>
    </w:p>
    <w:p w14:paraId="7464C971">
      <w:pPr>
        <w:pStyle w:val="27"/>
        <w:rPr>
          <w:rFonts w:hint="eastAsia"/>
          <w:lang w:val="zh-CN"/>
        </w:rPr>
      </w:pPr>
      <w:r>
        <w:rPr>
          <w:rFonts w:hint="eastAsia"/>
          <w:lang w:val="zh-CN"/>
        </w:rPr>
        <w:t>（</w:t>
      </w:r>
      <w:r>
        <w:rPr>
          <w:rFonts w:hint="eastAsia"/>
        </w:rPr>
        <w:t>六</w:t>
      </w:r>
      <w:r>
        <w:rPr>
          <w:rFonts w:hint="eastAsia"/>
          <w:lang w:val="zh-CN"/>
        </w:rPr>
        <w:t>）</w:t>
      </w:r>
      <w:r>
        <w:rPr>
          <w:rFonts w:hint="eastAsia"/>
        </w:rPr>
        <w:t>其他</w:t>
      </w:r>
      <w:r>
        <w:rPr>
          <w:rFonts w:hint="eastAsia"/>
          <w:lang w:val="zh-CN"/>
        </w:rPr>
        <w:t>（</w:t>
      </w:r>
      <w:r>
        <w:rPr>
          <w:rFonts w:hint="eastAsia"/>
        </w:rPr>
        <w:t>如有</w:t>
      </w:r>
      <w:r>
        <w:rPr>
          <w:rFonts w:hint="eastAsia"/>
          <w:lang w:val="zh-CN"/>
        </w:rPr>
        <w:t>）</w:t>
      </w:r>
    </w:p>
    <w:p w14:paraId="65ED002E">
      <w:pPr>
        <w:ind w:firstLine="480"/>
        <w:rPr>
          <w:rFonts w:hint="eastAsia"/>
          <w:lang w:val="zh-CN"/>
        </w:rPr>
      </w:pPr>
    </w:p>
    <w:p w14:paraId="1DB2611F">
      <w:pPr>
        <w:ind w:firstLine="480"/>
        <w:rPr>
          <w:rFonts w:hint="eastAsia"/>
          <w:lang w:val="zh-CN"/>
        </w:rPr>
      </w:pPr>
    </w:p>
    <w:p w14:paraId="29974174">
      <w:pPr>
        <w:ind w:firstLine="480"/>
        <w:rPr>
          <w:rFonts w:hint="eastAsia"/>
          <w:lang w:val="zh-CN"/>
        </w:rPr>
      </w:pPr>
    </w:p>
    <w:p w14:paraId="31AF3607">
      <w:pPr>
        <w:ind w:firstLine="480"/>
        <w:rPr>
          <w:rFonts w:hint="eastAsia"/>
          <w:lang w:val="zh-CN"/>
        </w:rPr>
      </w:pPr>
      <w:r>
        <w:rPr>
          <w:rFonts w:hint="eastAsia"/>
          <w:lang w:val="zh-CN"/>
        </w:rPr>
        <w:br w:type="page"/>
      </w:r>
    </w:p>
    <w:p w14:paraId="243D2D46">
      <w:pPr>
        <w:pStyle w:val="26"/>
      </w:pPr>
      <w:r>
        <w:t>四、响应</w:t>
      </w:r>
      <w:r>
        <w:rPr>
          <w:rFonts w:hint="default"/>
        </w:rPr>
        <w:t>性文件</w:t>
      </w:r>
    </w:p>
    <w:p w14:paraId="2080FE8A">
      <w:pPr>
        <w:pStyle w:val="27"/>
        <w:rPr>
          <w:rFonts w:hint="eastAsia"/>
        </w:rPr>
      </w:pPr>
      <w:r>
        <w:rPr>
          <w:rFonts w:hint="eastAsia"/>
        </w:rPr>
        <w:t>（一）响应承诺函</w:t>
      </w:r>
    </w:p>
    <w:p w14:paraId="27B17E0E">
      <w:pPr>
        <w:autoSpaceDE/>
        <w:autoSpaceDN/>
        <w:ind w:firstLine="480"/>
        <w:rPr>
          <w:rFonts w:hint="eastAsia"/>
          <w:sz w:val="18"/>
          <w:szCs w:val="18"/>
        </w:rPr>
      </w:pPr>
      <w:r>
        <w:rPr>
          <w:rFonts w:hint="eastAsia"/>
        </w:rPr>
        <w:t>根据第三章“项目要求”内容，做出整体承诺，格式自理。</w:t>
      </w:r>
    </w:p>
    <w:p w14:paraId="1E114061">
      <w:pPr>
        <w:widowControl/>
        <w:autoSpaceDE/>
        <w:autoSpaceDN/>
        <w:spacing w:line="240" w:lineRule="auto"/>
        <w:ind w:firstLine="0" w:firstLineChars="0"/>
        <w:jc w:val="left"/>
        <w:rPr>
          <w:rFonts w:hint="eastAsia"/>
          <w:b/>
          <w:sz w:val="28"/>
        </w:rPr>
      </w:pPr>
      <w:r>
        <w:br w:type="page"/>
      </w:r>
    </w:p>
    <w:p w14:paraId="79A2E3D0">
      <w:pPr>
        <w:pStyle w:val="27"/>
        <w:rPr>
          <w:rFonts w:hint="eastAsia"/>
        </w:rPr>
      </w:pPr>
      <w:r>
        <w:rPr>
          <w:rFonts w:hint="eastAsia"/>
        </w:rPr>
        <w:t>（</w:t>
      </w:r>
      <w:r>
        <w:t>二</w:t>
      </w:r>
      <w:r>
        <w:rPr>
          <w:rFonts w:hint="eastAsia"/>
        </w:rPr>
        <w:t>）</w:t>
      </w:r>
      <w:r>
        <w:t>参选保证金</w:t>
      </w:r>
    </w:p>
    <w:p w14:paraId="7A02D4DF">
      <w:pPr>
        <w:spacing w:line="360" w:lineRule="auto"/>
        <w:ind w:firstLine="480"/>
        <w:rPr>
          <w:rFonts w:hint="eastAsia" w:ascii="宋体" w:cs="等线 Light"/>
        </w:rPr>
      </w:pPr>
    </w:p>
    <w:p w14:paraId="057AC1F8">
      <w:pPr>
        <w:spacing w:line="360" w:lineRule="auto"/>
        <w:ind w:firstLine="480"/>
        <w:rPr>
          <w:rFonts w:hint="eastAsia" w:ascii="宋体" w:cs="等线 Light"/>
        </w:rPr>
      </w:pPr>
    </w:p>
    <w:p w14:paraId="7447F25C">
      <w:pPr>
        <w:spacing w:line="360" w:lineRule="auto"/>
        <w:ind w:firstLine="480"/>
        <w:rPr>
          <w:rFonts w:hint="eastAsia" w:ascii="宋体" w:cs="等线 Light"/>
        </w:rPr>
      </w:pPr>
    </w:p>
    <w:p w14:paraId="7CEDBA0B">
      <w:pPr>
        <w:spacing w:line="360" w:lineRule="auto"/>
        <w:ind w:firstLine="480"/>
        <w:rPr>
          <w:rFonts w:hint="eastAsia" w:ascii="宋体" w:cs="等线 Light"/>
        </w:rPr>
      </w:pPr>
    </w:p>
    <w:p w14:paraId="2B1DF418">
      <w:pPr>
        <w:spacing w:line="360" w:lineRule="auto"/>
        <w:ind w:firstLine="480"/>
        <w:rPr>
          <w:rFonts w:hint="eastAsia" w:ascii="宋体" w:cs="等线 Light"/>
        </w:rPr>
      </w:pPr>
    </w:p>
    <w:p w14:paraId="23AC11D0">
      <w:pPr>
        <w:spacing w:line="360" w:lineRule="auto"/>
        <w:ind w:firstLine="480"/>
        <w:rPr>
          <w:rFonts w:hint="eastAsia" w:ascii="宋体" w:cs="等线 Light"/>
        </w:rPr>
      </w:pPr>
    </w:p>
    <w:p w14:paraId="19F65B90">
      <w:pPr>
        <w:spacing w:line="360" w:lineRule="auto"/>
        <w:ind w:firstLine="480"/>
        <w:rPr>
          <w:rFonts w:hint="eastAsia" w:ascii="宋体" w:cs="等线 Light"/>
        </w:rPr>
      </w:pPr>
    </w:p>
    <w:p w14:paraId="26703314">
      <w:pPr>
        <w:spacing w:line="360" w:lineRule="auto"/>
        <w:ind w:firstLine="480"/>
        <w:rPr>
          <w:rFonts w:hint="eastAsia" w:ascii="宋体" w:cs="等线 Light"/>
        </w:rPr>
      </w:pPr>
    </w:p>
    <w:p w14:paraId="5CAFBF82">
      <w:pPr>
        <w:spacing w:line="360" w:lineRule="auto"/>
        <w:ind w:firstLine="480"/>
        <w:rPr>
          <w:rFonts w:hint="eastAsia" w:ascii="宋体" w:cs="等线 Light"/>
        </w:rPr>
      </w:pPr>
    </w:p>
    <w:p w14:paraId="2821ACAF">
      <w:pPr>
        <w:spacing w:line="360" w:lineRule="auto"/>
        <w:ind w:firstLine="480"/>
        <w:rPr>
          <w:rFonts w:hint="eastAsia" w:ascii="宋体" w:cs="等线 Light"/>
        </w:rPr>
      </w:pPr>
    </w:p>
    <w:p w14:paraId="1BA89966">
      <w:pPr>
        <w:spacing w:line="360" w:lineRule="auto"/>
        <w:ind w:firstLine="480"/>
        <w:rPr>
          <w:rFonts w:hint="eastAsia" w:ascii="宋体" w:cs="等线 Light"/>
        </w:rPr>
      </w:pPr>
    </w:p>
    <w:p w14:paraId="3356EDDC">
      <w:pPr>
        <w:spacing w:line="360" w:lineRule="auto"/>
        <w:ind w:firstLine="480"/>
        <w:rPr>
          <w:rFonts w:hint="eastAsia" w:ascii="宋体" w:cs="等线 Light"/>
        </w:rPr>
      </w:pPr>
    </w:p>
    <w:p w14:paraId="3ADAD91A">
      <w:pPr>
        <w:spacing w:line="360" w:lineRule="auto"/>
        <w:ind w:firstLine="480"/>
        <w:rPr>
          <w:rFonts w:hint="eastAsia" w:ascii="宋体" w:cs="等线 Light"/>
        </w:rPr>
      </w:pPr>
    </w:p>
    <w:p w14:paraId="3AF84F76">
      <w:pPr>
        <w:spacing w:line="360" w:lineRule="auto"/>
        <w:ind w:firstLine="480"/>
        <w:rPr>
          <w:rFonts w:hint="eastAsia" w:ascii="宋体" w:cs="等线 Light"/>
        </w:rPr>
      </w:pPr>
    </w:p>
    <w:p w14:paraId="469C6226">
      <w:pPr>
        <w:spacing w:line="360" w:lineRule="auto"/>
        <w:ind w:firstLine="480"/>
        <w:rPr>
          <w:rFonts w:hint="eastAsia" w:ascii="宋体" w:cs="等线 Light"/>
        </w:rPr>
      </w:pPr>
    </w:p>
    <w:p w14:paraId="172B1852">
      <w:pPr>
        <w:spacing w:line="360" w:lineRule="auto"/>
        <w:ind w:firstLine="480"/>
        <w:rPr>
          <w:rFonts w:hint="eastAsia" w:ascii="宋体" w:cs="等线 Light"/>
        </w:rPr>
      </w:pPr>
    </w:p>
    <w:p w14:paraId="03157580">
      <w:pPr>
        <w:spacing w:line="360" w:lineRule="auto"/>
        <w:ind w:firstLine="480"/>
        <w:rPr>
          <w:rFonts w:hint="eastAsia" w:ascii="宋体" w:cs="等线 Light"/>
        </w:rPr>
      </w:pPr>
    </w:p>
    <w:p w14:paraId="37D50092">
      <w:pPr>
        <w:spacing w:line="360" w:lineRule="auto"/>
        <w:ind w:firstLine="480"/>
        <w:rPr>
          <w:rFonts w:hint="eastAsia" w:ascii="宋体" w:cs="等线 Light"/>
        </w:rPr>
      </w:pPr>
    </w:p>
    <w:p w14:paraId="2D768E5D">
      <w:pPr>
        <w:adjustRightInd w:val="0"/>
        <w:snapToGrid w:val="0"/>
        <w:spacing w:line="360" w:lineRule="auto"/>
        <w:ind w:firstLine="480"/>
        <w:jc w:val="left"/>
        <w:rPr>
          <w:rFonts w:hint="eastAsia" w:ascii="宋体"/>
          <w:kern w:val="0"/>
        </w:rPr>
      </w:pPr>
      <w:r>
        <w:rPr>
          <w:rFonts w:ascii="宋体"/>
        </w:rPr>
        <mc:AlternateContent>
          <mc:Choice Requires="wps">
            <w:drawing>
              <wp:anchor distT="0" distB="0" distL="113665" distR="113665" simplePos="0" relativeHeight="251660288" behindDoc="0" locked="0" layoutInCell="1" allowOverlap="1">
                <wp:simplePos x="0" y="0"/>
                <wp:positionH relativeFrom="column">
                  <wp:posOffset>-28575</wp:posOffset>
                </wp:positionH>
                <wp:positionV relativeFrom="paragraph">
                  <wp:posOffset>236220</wp:posOffset>
                </wp:positionV>
                <wp:extent cx="282892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2828924" cy="0"/>
                        </a:xfrm>
                        <a:prstGeom prst="line">
                          <a:avLst/>
                        </a:prstGeom>
                        <a:noFill/>
                        <a:ln w="3175" cap="flat" cmpd="sng">
                          <a:solidFill>
                            <a:srgbClr val="000000"/>
                          </a:solidFill>
                          <a:prstDash val="solid"/>
                          <a:miter/>
                        </a:ln>
                      </wps:spPr>
                      <wps:bodyPr/>
                    </wps:wsp>
                  </a:graphicData>
                </a:graphic>
              </wp:anchor>
            </w:drawing>
          </mc:Choice>
          <mc:Fallback>
            <w:pict>
              <v:line id="_x0000_s1026" o:spid="_x0000_s1026" o:spt="20" style="position:absolute;left:0pt;margin-left:-2.25pt;margin-top:18.6pt;height:0pt;width:222.75pt;z-index:251660288;mso-width-relative:page;mso-height-relative:page;" filled="f" stroked="t" coordsize="21600,21600" o:gfxdata="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wFANztUAAAAIAQAADwAAAAAAAAABACAA&#10;AAAiAAAAZHJzL2Rvd25yZXYueG1sUEsBAhQAFAAAAAgAh07iQODUyDHXAQAAmQMAAA4AAAAAAAAA&#10;AQAgAAAAJAEAAGRycy9lMm9Eb2MueG1sUEsFBgAAAAAGAAYAWQEAAG0FAAAAAA==&#10;">
                <v:fill on="f" focussize="0,0"/>
                <v:stroke weight="0.25pt" color="#000000" joinstyle="miter"/>
                <v:imagedata o:title=""/>
                <o:lock v:ext="edit" aspectratio="f"/>
              </v:line>
            </w:pict>
          </mc:Fallback>
        </mc:AlternateContent>
      </w:r>
    </w:p>
    <w:p w14:paraId="3CAC89A2">
      <w:pPr>
        <w:tabs>
          <w:tab w:val="left" w:pos="6300"/>
        </w:tabs>
        <w:snapToGrid w:val="0"/>
        <w:spacing w:line="360" w:lineRule="auto"/>
        <w:ind w:firstLine="480"/>
        <w:rPr>
          <w:rFonts w:hint="eastAsia" w:ascii="宋体"/>
          <w:snapToGrid w:val="0"/>
          <w:kern w:val="0"/>
        </w:rPr>
      </w:pPr>
      <w:r>
        <w:rPr>
          <w:rFonts w:hint="eastAsia" w:ascii="宋体"/>
          <w:snapToGrid w:val="0"/>
          <w:kern w:val="0"/>
        </w:rPr>
        <w:t>注：附</w:t>
      </w:r>
      <w:r>
        <w:rPr>
          <w:rFonts w:hint="eastAsia" w:ascii="宋体" w:cs="等线 Light"/>
          <w:snapToGrid w:val="0"/>
          <w:kern w:val="0"/>
          <w:szCs w:val="24"/>
        </w:rPr>
        <w:t>参选</w:t>
      </w:r>
      <w:r>
        <w:rPr>
          <w:rFonts w:hint="eastAsia" w:ascii="宋体"/>
          <w:snapToGrid w:val="0"/>
          <w:kern w:val="0"/>
        </w:rPr>
        <w:t>保证金交款凭据复印件</w:t>
      </w:r>
    </w:p>
    <w:p w14:paraId="63805736">
      <w:pPr>
        <w:spacing w:line="360" w:lineRule="auto"/>
        <w:ind w:firstLine="420"/>
        <w:rPr>
          <w:rFonts w:hint="eastAsia" w:ascii="宋体" w:cs="等线 Light"/>
          <w:sz w:val="21"/>
          <w:szCs w:val="21"/>
        </w:rPr>
      </w:pPr>
    </w:p>
    <w:p w14:paraId="463E8F9E">
      <w:pPr>
        <w:spacing w:line="360" w:lineRule="auto"/>
        <w:ind w:firstLine="480"/>
        <w:rPr>
          <w:rFonts w:hint="eastAsia" w:ascii="宋体" w:cs="等线 Light"/>
          <w:szCs w:val="21"/>
        </w:rPr>
        <w:sectPr>
          <w:pgSz w:w="11906" w:h="16838"/>
          <w:pgMar w:top="1440" w:right="1800" w:bottom="1440" w:left="1800" w:header="851" w:footer="992" w:gutter="0"/>
          <w:pgNumType w:fmt="decimal"/>
          <w:cols w:space="720" w:num="1"/>
          <w:docGrid w:type="lines" w:linePitch="312" w:charSpace="0"/>
        </w:sectPr>
      </w:pPr>
    </w:p>
    <w:p w14:paraId="5B66B5E7">
      <w:pPr>
        <w:pStyle w:val="27"/>
        <w:rPr>
          <w:rFonts w:hint="eastAsia"/>
        </w:rPr>
      </w:pPr>
      <w:r>
        <w:rPr>
          <w:rFonts w:hint="eastAsia"/>
        </w:rPr>
        <w:t>（三）服务承诺函</w:t>
      </w:r>
    </w:p>
    <w:p w14:paraId="61E2FC6F">
      <w:pPr>
        <w:ind w:firstLine="480"/>
        <w:rPr>
          <w:rFonts w:hint="eastAsia"/>
        </w:rPr>
      </w:pPr>
      <w:r>
        <w:rPr>
          <w:rFonts w:hint="eastAsia"/>
        </w:rPr>
        <w:t>（根据第三章要求，提供服务承诺函，格式自拟）</w:t>
      </w:r>
    </w:p>
    <w:p w14:paraId="45AAC6DB">
      <w:pPr>
        <w:ind w:firstLine="480"/>
        <w:rPr>
          <w:rFonts w:hint="eastAsia"/>
        </w:rPr>
      </w:pPr>
    </w:p>
    <w:p w14:paraId="4DCBF257">
      <w:pPr>
        <w:ind w:firstLine="480"/>
        <w:rPr>
          <w:rFonts w:hint="eastAsia"/>
        </w:rPr>
        <w:sectPr>
          <w:pgSz w:w="11906" w:h="16838"/>
          <w:pgMar w:top="1440" w:right="1800" w:bottom="1440" w:left="1800" w:header="851" w:footer="992" w:gutter="0"/>
          <w:pgNumType w:fmt="decimal"/>
          <w:cols w:space="720" w:num="1"/>
          <w:docGrid w:type="lines" w:linePitch="312" w:charSpace="0"/>
        </w:sectPr>
      </w:pPr>
    </w:p>
    <w:p w14:paraId="48724FDF">
      <w:pPr>
        <w:pStyle w:val="27"/>
        <w:rPr>
          <w:rFonts w:hint="eastAsia"/>
        </w:rPr>
      </w:pPr>
      <w:r>
        <w:rPr>
          <w:rFonts w:hint="eastAsia"/>
        </w:rPr>
        <w:t>（四）其他（如有）</w:t>
      </w:r>
    </w:p>
    <w:p w14:paraId="5C7E7FFA">
      <w:pPr>
        <w:ind w:firstLine="480"/>
        <w:rPr>
          <w:rFonts w:hint="eastAsia"/>
        </w:rPr>
      </w:pPr>
      <w:r>
        <w:rPr>
          <w:rFonts w:hint="eastAsia"/>
        </w:rPr>
        <w:t>（如第三章中要求提供的文件、方案等材料）</w:t>
      </w:r>
    </w:p>
    <w:p w14:paraId="2F92E5F8">
      <w:pPr>
        <w:ind w:firstLine="480"/>
        <w:rPr>
          <w:rFonts w:hint="eastAsia"/>
        </w:rPr>
      </w:pPr>
    </w:p>
    <w:p w14:paraId="284AF1EC">
      <w:pPr>
        <w:ind w:firstLine="480"/>
        <w:rPr>
          <w:rFonts w:hint="eastAsia"/>
        </w:rPr>
        <w:sectPr>
          <w:pgSz w:w="11906" w:h="16838"/>
          <w:pgMar w:top="1440" w:right="1800" w:bottom="1440" w:left="1800" w:header="851" w:footer="992" w:gutter="0"/>
          <w:pgNumType w:fmt="decimal"/>
          <w:cols w:space="720" w:num="1"/>
          <w:docGrid w:type="lines" w:linePitch="312" w:charSpace="0"/>
        </w:sectPr>
      </w:pPr>
    </w:p>
    <w:p w14:paraId="645569F5">
      <w:pPr>
        <w:pStyle w:val="26"/>
        <w:ind w:firstLine="480"/>
      </w:pPr>
      <w:r>
        <w:t>五、其他（如有）</w:t>
      </w:r>
    </w:p>
    <w:p w14:paraId="661ED26D">
      <w:pPr>
        <w:ind w:firstLine="0" w:firstLineChars="0"/>
        <w:jc w:val="center"/>
        <w:rPr>
          <w:rFonts w:hint="eastAsia"/>
          <w:lang w:eastAsia="zh-CN"/>
        </w:rPr>
      </w:pPr>
      <w:r>
        <w:rPr>
          <w:rFonts w:hint="eastAsia"/>
          <w:lang w:eastAsia="zh-CN"/>
        </w:rPr>
        <w:t>（</w:t>
      </w:r>
      <w:r>
        <w:rPr>
          <w:rFonts w:hint="eastAsia"/>
          <w:lang w:val="en-US" w:eastAsia="zh-CN"/>
        </w:rPr>
        <w:t>可在此处提供与比选人的合作案例。</w:t>
      </w:r>
      <w:r>
        <w:rPr>
          <w:rFonts w:hint="eastAsia"/>
          <w:lang w:eastAsia="zh-CN"/>
        </w:rPr>
        <w:t>）</w:t>
      </w: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C0434">
    <w:pPr>
      <w:pStyle w:val="11"/>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F33CE">
    <w:pPr>
      <w:pStyle w:val="11"/>
      <w:ind w:firstLine="360"/>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AC353">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1BAC353">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32013">
    <w:pPr>
      <w:pStyle w:val="12"/>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4MmQxZjA1Y2YxYjcxZTkzZjljNGM2ODFmNzIxYzcifQ=="/>
  </w:docVars>
  <w:rsids>
    <w:rsidRoot w:val="005369B6"/>
    <w:rsid w:val="000F17CD"/>
    <w:rsid w:val="002B2ED9"/>
    <w:rsid w:val="002B6876"/>
    <w:rsid w:val="002E2247"/>
    <w:rsid w:val="002E60E5"/>
    <w:rsid w:val="003312A2"/>
    <w:rsid w:val="005369B6"/>
    <w:rsid w:val="00544A93"/>
    <w:rsid w:val="00556A54"/>
    <w:rsid w:val="005D3F67"/>
    <w:rsid w:val="00601A31"/>
    <w:rsid w:val="00622FD8"/>
    <w:rsid w:val="00677F91"/>
    <w:rsid w:val="007A50C5"/>
    <w:rsid w:val="00A4522F"/>
    <w:rsid w:val="00A708CD"/>
    <w:rsid w:val="00A909A1"/>
    <w:rsid w:val="00AA05A8"/>
    <w:rsid w:val="00AF6C82"/>
    <w:rsid w:val="00B476B5"/>
    <w:rsid w:val="00BD301A"/>
    <w:rsid w:val="00C77BEB"/>
    <w:rsid w:val="00E5464B"/>
    <w:rsid w:val="00FD3658"/>
    <w:rsid w:val="00FF1726"/>
    <w:rsid w:val="01FF5632"/>
    <w:rsid w:val="040205A2"/>
    <w:rsid w:val="05151950"/>
    <w:rsid w:val="05FC3BE0"/>
    <w:rsid w:val="071A2D33"/>
    <w:rsid w:val="08F5187C"/>
    <w:rsid w:val="098A626F"/>
    <w:rsid w:val="09D65B51"/>
    <w:rsid w:val="0A0F696E"/>
    <w:rsid w:val="0A627595"/>
    <w:rsid w:val="0C6620D4"/>
    <w:rsid w:val="0F0104EA"/>
    <w:rsid w:val="1106526A"/>
    <w:rsid w:val="115455AE"/>
    <w:rsid w:val="12DA0C7B"/>
    <w:rsid w:val="134A09A8"/>
    <w:rsid w:val="14151B4C"/>
    <w:rsid w:val="1A793C01"/>
    <w:rsid w:val="1A815081"/>
    <w:rsid w:val="1ADC6D40"/>
    <w:rsid w:val="1CB71C68"/>
    <w:rsid w:val="1CCA18B6"/>
    <w:rsid w:val="1F6A5C17"/>
    <w:rsid w:val="1FED61F0"/>
    <w:rsid w:val="226A4FFC"/>
    <w:rsid w:val="23550685"/>
    <w:rsid w:val="287C121A"/>
    <w:rsid w:val="29156033"/>
    <w:rsid w:val="29CB0924"/>
    <w:rsid w:val="29E4746D"/>
    <w:rsid w:val="2BB27B17"/>
    <w:rsid w:val="2C531B32"/>
    <w:rsid w:val="2C642975"/>
    <w:rsid w:val="2CA34125"/>
    <w:rsid w:val="2F1471D4"/>
    <w:rsid w:val="33F72234"/>
    <w:rsid w:val="36CD7A57"/>
    <w:rsid w:val="37A93866"/>
    <w:rsid w:val="3AEE244B"/>
    <w:rsid w:val="3B377DA0"/>
    <w:rsid w:val="3D8E770A"/>
    <w:rsid w:val="3DBF1E7D"/>
    <w:rsid w:val="3E4D17CB"/>
    <w:rsid w:val="3E6350CC"/>
    <w:rsid w:val="402F4DFA"/>
    <w:rsid w:val="403D2B15"/>
    <w:rsid w:val="451C3BF0"/>
    <w:rsid w:val="458A4B1F"/>
    <w:rsid w:val="45CE2DED"/>
    <w:rsid w:val="47B009B8"/>
    <w:rsid w:val="48C77A88"/>
    <w:rsid w:val="4D03135A"/>
    <w:rsid w:val="504D7229"/>
    <w:rsid w:val="52402F8A"/>
    <w:rsid w:val="5264103C"/>
    <w:rsid w:val="537F5EDF"/>
    <w:rsid w:val="573A3C7D"/>
    <w:rsid w:val="58564A62"/>
    <w:rsid w:val="590548CC"/>
    <w:rsid w:val="5CC15DC4"/>
    <w:rsid w:val="61D33991"/>
    <w:rsid w:val="62612C54"/>
    <w:rsid w:val="62963BB3"/>
    <w:rsid w:val="63265191"/>
    <w:rsid w:val="632B625F"/>
    <w:rsid w:val="63350368"/>
    <w:rsid w:val="696D1EDE"/>
    <w:rsid w:val="6AA945AE"/>
    <w:rsid w:val="6ADC548C"/>
    <w:rsid w:val="6B574143"/>
    <w:rsid w:val="6E2476C2"/>
    <w:rsid w:val="6FDF7997"/>
    <w:rsid w:val="71381023"/>
    <w:rsid w:val="7173590B"/>
    <w:rsid w:val="727576DB"/>
    <w:rsid w:val="74081181"/>
    <w:rsid w:val="740D5D2E"/>
    <w:rsid w:val="75200194"/>
    <w:rsid w:val="755F7D8C"/>
    <w:rsid w:val="762961F2"/>
    <w:rsid w:val="78F54622"/>
    <w:rsid w:val="7A9E122A"/>
    <w:rsid w:val="7F4E0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spacing w:line="600" w:lineRule="exact"/>
      <w:ind w:firstLine="1044" w:firstLineChars="200"/>
      <w:jc w:val="both"/>
    </w:pPr>
    <w:rPr>
      <w:rFonts w:ascii="Cambria Math" w:hAnsi="Cambria Math" w:eastAsia="宋体" w:cs="Cambria Math"/>
      <w:kern w:val="2"/>
      <w:sz w:val="24"/>
      <w:lang w:val="en-US" w:eastAsia="zh-CN" w:bidi="ar-SA"/>
    </w:rPr>
  </w:style>
  <w:style w:type="paragraph" w:styleId="2">
    <w:name w:val="heading 1"/>
    <w:basedOn w:val="1"/>
    <w:next w:val="1"/>
    <w:link w:val="21"/>
    <w:autoRedefine/>
    <w:qFormat/>
    <w:uiPriority w:val="0"/>
    <w:pPr>
      <w:tabs>
        <w:tab w:val="left" w:pos="3360"/>
      </w:tabs>
      <w:snapToGrid w:val="0"/>
      <w:ind w:firstLine="0" w:firstLineChars="0"/>
      <w:jc w:val="center"/>
      <w:outlineLvl w:val="0"/>
    </w:pPr>
    <w:rPr>
      <w:rFonts w:ascii="宋体" w:hAnsi="宋体" w:cs="等线 Light"/>
      <w:b/>
      <w:snapToGrid w:val="0"/>
      <w:kern w:val="0"/>
      <w:sz w:val="44"/>
      <w:szCs w:val="44"/>
    </w:rPr>
  </w:style>
  <w:style w:type="paragraph" w:styleId="3">
    <w:name w:val="heading 2"/>
    <w:basedOn w:val="1"/>
    <w:next w:val="1"/>
    <w:link w:val="22"/>
    <w:autoRedefine/>
    <w:unhideWhenUsed/>
    <w:qFormat/>
    <w:uiPriority w:val="9"/>
    <w:pPr>
      <w:ind w:firstLine="0" w:firstLineChars="0"/>
      <w:outlineLvl w:val="1"/>
    </w:pPr>
    <w:rPr>
      <w:rFonts w:ascii="宋体" w:hAnsi="宋体" w:cstheme="majorBidi"/>
      <w:b/>
      <w:bCs/>
      <w:snapToGrid w:val="0"/>
      <w:szCs w:val="24"/>
    </w:rPr>
  </w:style>
  <w:style w:type="paragraph" w:styleId="4">
    <w:name w:val="heading 3"/>
    <w:basedOn w:val="1"/>
    <w:next w:val="1"/>
    <w:link w:val="23"/>
    <w:autoRedefine/>
    <w:unhideWhenUsed/>
    <w:qFormat/>
    <w:uiPriority w:val="9"/>
    <w:pPr>
      <w:outlineLvl w:val="2"/>
    </w:pPr>
    <w:rPr>
      <w:b/>
      <w:bCs/>
      <w:szCs w:val="32"/>
    </w:rPr>
  </w:style>
  <w:style w:type="paragraph" w:styleId="5">
    <w:name w:val="heading 4"/>
    <w:basedOn w:val="1"/>
    <w:next w:val="1"/>
    <w:link w:val="20"/>
    <w:autoRedefine/>
    <w:qFormat/>
    <w:uiPriority w:val="0"/>
    <w:pPr>
      <w:outlineLvl w:val="3"/>
    </w:pPr>
    <w:rPr>
      <w:rFonts w:ascii="Calibri Light" w:hAnsi="Calibri Light" w:cs="Times New Roman"/>
      <w:bCs/>
      <w:szCs w:val="28"/>
    </w:rPr>
  </w:style>
  <w:style w:type="paragraph" w:styleId="6">
    <w:name w:val="heading 5"/>
    <w:basedOn w:val="1"/>
    <w:next w:val="1"/>
    <w:link w:val="25"/>
    <w:autoRedefine/>
    <w:unhideWhenUsed/>
    <w:qFormat/>
    <w:uiPriority w:val="0"/>
    <w:pPr>
      <w:spacing w:line="360" w:lineRule="auto"/>
      <w:ind w:firstLine="0" w:firstLineChars="0"/>
      <w:jc w:val="center"/>
      <w:outlineLvl w:val="4"/>
    </w:pPr>
    <w:rPr>
      <w:b/>
      <w:sz w:val="28"/>
    </w:rPr>
  </w:style>
  <w:style w:type="paragraph" w:styleId="7">
    <w:name w:val="heading 6"/>
    <w:basedOn w:val="1"/>
    <w:next w:val="1"/>
    <w:autoRedefine/>
    <w:unhideWhenUsed/>
    <w:qFormat/>
    <w:uiPriority w:val="0"/>
    <w:pPr>
      <w:keepNext/>
      <w:keepLines/>
      <w:spacing w:before="240" w:after="64" w:line="317" w:lineRule="auto"/>
      <w:outlineLvl w:val="5"/>
    </w:pPr>
    <w:rPr>
      <w:rFonts w:ascii="Arial" w:hAnsi="Arial" w:eastAsia="黑体"/>
      <w:b/>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autoRedefine/>
    <w:qFormat/>
    <w:uiPriority w:val="0"/>
    <w:pPr>
      <w:jc w:val="left"/>
    </w:pPr>
  </w:style>
  <w:style w:type="paragraph" w:styleId="9">
    <w:name w:val="Body Text"/>
    <w:basedOn w:val="1"/>
    <w:next w:val="1"/>
    <w:autoRedefine/>
    <w:semiHidden/>
    <w:unhideWhenUsed/>
    <w:qFormat/>
    <w:uiPriority w:val="99"/>
    <w:pPr>
      <w:spacing w:before="100" w:beforeAutospacing="1" w:after="120"/>
    </w:pPr>
  </w:style>
  <w:style w:type="paragraph" w:styleId="10">
    <w:name w:val="Balloon Text"/>
    <w:basedOn w:val="1"/>
    <w:link w:val="35"/>
    <w:qFormat/>
    <w:uiPriority w:val="0"/>
    <w:pPr>
      <w:spacing w:line="240" w:lineRule="auto"/>
    </w:pPr>
    <w:rPr>
      <w:sz w:val="18"/>
      <w:szCs w:val="18"/>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3">
    <w:name w:val="toc 1"/>
    <w:basedOn w:val="1"/>
    <w:next w:val="1"/>
    <w:autoRedefine/>
    <w:qFormat/>
    <w:uiPriority w:val="0"/>
  </w:style>
  <w:style w:type="paragraph" w:styleId="14">
    <w:name w:val="Subtitle"/>
    <w:basedOn w:val="1"/>
    <w:autoRedefine/>
    <w:qFormat/>
    <w:uiPriority w:val="0"/>
    <w:pPr>
      <w:spacing w:before="240" w:after="60" w:line="312" w:lineRule="auto"/>
      <w:jc w:val="center"/>
      <w:outlineLvl w:val="1"/>
    </w:pPr>
    <w:rPr>
      <w:rFonts w:ascii="Arial" w:hAnsi="Arial"/>
      <w:b/>
      <w:kern w:val="28"/>
      <w:sz w:val="32"/>
    </w:rPr>
  </w:style>
  <w:style w:type="table" w:styleId="16">
    <w:name w:val="Table Grid"/>
    <w:basedOn w:val="1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autoRedefine/>
    <w:qFormat/>
    <w:uiPriority w:val="22"/>
    <w:rPr>
      <w:b/>
      <w:bCs/>
    </w:rPr>
  </w:style>
  <w:style w:type="character" w:styleId="19">
    <w:name w:val="annotation reference"/>
    <w:basedOn w:val="17"/>
    <w:qFormat/>
    <w:uiPriority w:val="0"/>
    <w:rPr>
      <w:sz w:val="21"/>
      <w:szCs w:val="21"/>
    </w:rPr>
  </w:style>
  <w:style w:type="character" w:customStyle="1" w:styleId="20">
    <w:name w:val="标题 4 Char"/>
    <w:link w:val="5"/>
    <w:autoRedefine/>
    <w:qFormat/>
    <w:uiPriority w:val="0"/>
    <w:rPr>
      <w:rFonts w:ascii="Calibri Light" w:hAnsi="Calibri Light" w:eastAsia="宋体" w:cs="Times New Roman"/>
      <w:bCs/>
      <w:szCs w:val="28"/>
    </w:rPr>
  </w:style>
  <w:style w:type="character" w:customStyle="1" w:styleId="21">
    <w:name w:val="标题 1 Char"/>
    <w:basedOn w:val="17"/>
    <w:link w:val="2"/>
    <w:autoRedefine/>
    <w:qFormat/>
    <w:uiPriority w:val="0"/>
    <w:rPr>
      <w:rFonts w:ascii="宋体" w:hAnsi="宋体" w:eastAsia="宋体" w:cs="等线 Light"/>
      <w:b/>
      <w:snapToGrid w:val="0"/>
      <w:kern w:val="0"/>
      <w:sz w:val="44"/>
      <w:szCs w:val="44"/>
    </w:rPr>
  </w:style>
  <w:style w:type="character" w:customStyle="1" w:styleId="22">
    <w:name w:val="标题 2 Char"/>
    <w:basedOn w:val="17"/>
    <w:link w:val="3"/>
    <w:autoRedefine/>
    <w:qFormat/>
    <w:uiPriority w:val="9"/>
    <w:rPr>
      <w:rFonts w:ascii="宋体" w:hAnsi="宋体" w:cstheme="majorBidi"/>
      <w:b/>
      <w:bCs/>
      <w:snapToGrid w:val="0"/>
      <w:szCs w:val="24"/>
    </w:rPr>
  </w:style>
  <w:style w:type="character" w:customStyle="1" w:styleId="23">
    <w:name w:val="标题 3 Char"/>
    <w:basedOn w:val="17"/>
    <w:link w:val="4"/>
    <w:autoRedefine/>
    <w:qFormat/>
    <w:uiPriority w:val="9"/>
    <w:rPr>
      <w:rFonts w:eastAsia="宋体"/>
      <w:b/>
      <w:bCs/>
      <w:sz w:val="24"/>
      <w:szCs w:val="32"/>
    </w:rPr>
  </w:style>
  <w:style w:type="table" w:customStyle="1" w:styleId="24">
    <w:name w:val="网格型5"/>
    <w:basedOn w:val="1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5">
    <w:name w:val="标题 5 Char"/>
    <w:link w:val="6"/>
    <w:autoRedefine/>
    <w:qFormat/>
    <w:uiPriority w:val="0"/>
    <w:rPr>
      <w:rFonts w:eastAsia="宋体"/>
      <w:b/>
      <w:sz w:val="28"/>
    </w:rPr>
  </w:style>
  <w:style w:type="paragraph" w:customStyle="1" w:styleId="26">
    <w:name w:val="参选文件格式1"/>
    <w:basedOn w:val="1"/>
    <w:next w:val="1"/>
    <w:link w:val="30"/>
    <w:autoRedefine/>
    <w:qFormat/>
    <w:uiPriority w:val="0"/>
    <w:pPr>
      <w:spacing w:line="360" w:lineRule="auto"/>
      <w:ind w:firstLine="0" w:firstLineChars="0"/>
      <w:jc w:val="center"/>
      <w:outlineLvl w:val="1"/>
    </w:pPr>
    <w:rPr>
      <w:rFonts w:hint="eastAsia"/>
      <w:b/>
      <w:sz w:val="28"/>
    </w:rPr>
  </w:style>
  <w:style w:type="paragraph" w:customStyle="1" w:styleId="27">
    <w:name w:val="参选文件格式2"/>
    <w:basedOn w:val="1"/>
    <w:next w:val="1"/>
    <w:link w:val="31"/>
    <w:autoRedefine/>
    <w:qFormat/>
    <w:uiPriority w:val="0"/>
    <w:pPr>
      <w:ind w:firstLine="0" w:firstLineChars="0"/>
      <w:jc w:val="center"/>
      <w:outlineLvl w:val="2"/>
    </w:pPr>
    <w:rPr>
      <w:bCs/>
      <w:szCs w:val="32"/>
    </w:rPr>
  </w:style>
  <w:style w:type="paragraph" w:customStyle="1" w:styleId="28">
    <w:name w:val="参选文件格式3"/>
    <w:basedOn w:val="1"/>
    <w:link w:val="29"/>
    <w:autoRedefine/>
    <w:qFormat/>
    <w:uiPriority w:val="0"/>
    <w:pPr>
      <w:tabs>
        <w:tab w:val="left" w:pos="6300"/>
      </w:tabs>
      <w:snapToGrid w:val="0"/>
      <w:ind w:firstLine="0" w:firstLineChars="0"/>
      <w:jc w:val="center"/>
    </w:pPr>
    <w:rPr>
      <w:rFonts w:hint="eastAsia" w:ascii="宋体" w:hAnsi="宋体"/>
      <w:b/>
      <w:snapToGrid w:val="0"/>
      <w:kern w:val="0"/>
    </w:rPr>
  </w:style>
  <w:style w:type="character" w:customStyle="1" w:styleId="29">
    <w:name w:val="参选文件格式3 Char"/>
    <w:link w:val="28"/>
    <w:autoRedefine/>
    <w:qFormat/>
    <w:uiPriority w:val="0"/>
    <w:rPr>
      <w:rFonts w:hint="eastAsia" w:ascii="宋体" w:hAnsi="宋体" w:eastAsia="宋体"/>
      <w:b/>
      <w:snapToGrid w:val="0"/>
      <w:kern w:val="0"/>
      <w:u w:val="none"/>
    </w:rPr>
  </w:style>
  <w:style w:type="character" w:customStyle="1" w:styleId="30">
    <w:name w:val="参选文件格式1 Char"/>
    <w:link w:val="26"/>
    <w:autoRedefine/>
    <w:qFormat/>
    <w:uiPriority w:val="0"/>
    <w:rPr>
      <w:rFonts w:hint="eastAsia" w:eastAsia="宋体"/>
      <w:b/>
      <w:sz w:val="28"/>
    </w:rPr>
  </w:style>
  <w:style w:type="character" w:customStyle="1" w:styleId="31">
    <w:name w:val="参选文件格式2 Char"/>
    <w:link w:val="27"/>
    <w:autoRedefine/>
    <w:qFormat/>
    <w:uiPriority w:val="0"/>
    <w:rPr>
      <w:rFonts w:eastAsia="宋体"/>
      <w:bCs/>
      <w:szCs w:val="32"/>
    </w:rPr>
  </w:style>
  <w:style w:type="character" w:customStyle="1" w:styleId="32">
    <w:name w:val="font11"/>
    <w:basedOn w:val="17"/>
    <w:autoRedefine/>
    <w:qFormat/>
    <w:uiPriority w:val="0"/>
    <w:rPr>
      <w:rFonts w:hint="eastAsia" w:ascii="宋体" w:hAnsi="宋体" w:eastAsia="宋体" w:cs="宋体"/>
      <w:b/>
      <w:bCs/>
      <w:color w:val="000000"/>
      <w:sz w:val="21"/>
      <w:szCs w:val="21"/>
      <w:u w:val="none"/>
    </w:rPr>
  </w:style>
  <w:style w:type="character" w:customStyle="1" w:styleId="33">
    <w:name w:val="font21"/>
    <w:basedOn w:val="17"/>
    <w:autoRedefine/>
    <w:qFormat/>
    <w:uiPriority w:val="0"/>
    <w:rPr>
      <w:rFonts w:hint="eastAsia" w:ascii="宋体" w:hAnsi="宋体" w:eastAsia="宋体" w:cs="宋体"/>
      <w:color w:val="000000"/>
      <w:sz w:val="21"/>
      <w:szCs w:val="21"/>
      <w:u w:val="none"/>
    </w:rPr>
  </w:style>
  <w:style w:type="character" w:customStyle="1" w:styleId="34">
    <w:name w:val="font31"/>
    <w:basedOn w:val="17"/>
    <w:autoRedefine/>
    <w:qFormat/>
    <w:uiPriority w:val="0"/>
    <w:rPr>
      <w:rFonts w:hint="eastAsia" w:ascii="宋体" w:hAnsi="宋体" w:eastAsia="宋体" w:cs="宋体"/>
      <w:color w:val="FF0000"/>
      <w:sz w:val="21"/>
      <w:szCs w:val="21"/>
      <w:u w:val="none"/>
    </w:rPr>
  </w:style>
  <w:style w:type="character" w:customStyle="1" w:styleId="35">
    <w:name w:val="批注框文本 Char"/>
    <w:basedOn w:val="17"/>
    <w:link w:val="10"/>
    <w:qFormat/>
    <w:uiPriority w:val="0"/>
    <w:rPr>
      <w:rFonts w:ascii="Cambria Math" w:hAnsi="Cambria Math" w:cs="Cambria Math"/>
      <w:kern w:val="2"/>
      <w:sz w:val="18"/>
      <w:szCs w:val="18"/>
    </w:rPr>
  </w:style>
  <w:style w:type="paragraph" w:styleId="36">
    <w:name w:val="List Paragraph"/>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44</Pages>
  <Words>15757</Words>
  <Characters>16764</Characters>
  <Lines>140</Lines>
  <Paragraphs>39</Paragraphs>
  <TotalTime>0</TotalTime>
  <ScaleCrop>false</ScaleCrop>
  <LinksUpToDate>false</LinksUpToDate>
  <CharactersWithSpaces>17733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2024-01-16T06:16:00Z</dcterms:created>
  <dc:creator>admin</dc:creator>
  <cp:lastModifiedBy>交易中心-吴</cp:lastModifiedBy>
  <cp:lastPrinted>2024-01-19T09:29:00Z</cp:lastPrinted>
  <dcterms:modified xsi:type="dcterms:W3CDTF">2024-11-08T06:13:02Z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C9367B5D11054911874D72DB0FC711F5_13</vt:lpwstr>
  </property>
</Properties>
</file>